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7.webp" ContentType="image/webp"/>
  <Override PartName="/word/media/image8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EB3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【就业护航站】求职季，一文了解残疾人就业促进政策！</w:t>
      </w:r>
    </w:p>
    <w:p w14:paraId="102187B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t>国家保障残疾人平等的劳动就业权利，通过完善法律法规、拓展就业渠道、完善服务体系，积极促进残疾人就业、促进残疾人社会融合。</w:t>
      </w:r>
    </w:p>
    <w:p w14:paraId="3C7CB7D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0C091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t>2024年5月27日，中共中央政治局就促进高质量充分就业进行第十四次集体学习。中共中央总书记习近平在主持学习时强调“更加自觉地把高质量充分就业作为经济社会发展的优先目标”“加强对大龄、残疾、较长时间失业等就业困难群体的帮扶，统筹用好公益性岗位，确保零就业家庭动态清零”。</w:t>
      </w:r>
    </w:p>
    <w:p w14:paraId="6DF8C29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2" w:beforeAutospacing="0" w:after="192" w:afterAutospacing="0"/>
        <w:ind w:left="0" w:right="0" w:firstLine="420"/>
        <w:jc w:val="both"/>
      </w:pPr>
    </w:p>
    <w:p w14:paraId="5C878AF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079165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t>残疾人就业形式</w:t>
      </w:r>
    </w:p>
    <w:p w14:paraId="26E41D5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65967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92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t>国家对残疾人就业实行集中就业与分散就业相结合的方针，促进残疾人就业。残疾人就业形式包括：集中就业、按比例就业、个体和自主就业、公益性岗位就业、辅助性就业、农业种养加、灵活性就业等。</w:t>
      </w:r>
    </w:p>
    <w:p w14:paraId="685827E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3040" cy="7707630"/>
            <wp:effectExtent l="0" t="0" r="0" b="381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0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C1E52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2" w:beforeAutospacing="0" w:after="192" w:afterAutospacing="0"/>
        <w:ind w:left="0" w:right="0" w:firstLine="420"/>
        <w:jc w:val="both"/>
      </w:pPr>
    </w:p>
    <w:p w14:paraId="61314E7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2A9DD6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t>促进残疾人就业的财政政策</w:t>
      </w:r>
    </w:p>
    <w:p w14:paraId="7F7A0C8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1FE2C78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92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t>国家对正式招录（聘）残疾人的用人单位按规定给予岗位补贴、社会保险补贴、职业培训补贴、设施设备购置改造补贴、职业技能鉴定补贴等扶持，对超比例安排残疾人就业的用人单位给予奖励。</w:t>
      </w:r>
    </w:p>
    <w:p w14:paraId="34A0BC9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0500" cy="7742555"/>
            <wp:effectExtent l="0" t="0" r="2540" b="1460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4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1770" cy="6792595"/>
            <wp:effectExtent l="0" t="0" r="1270" b="444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9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9FB91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2" w:beforeAutospacing="0" w:after="192" w:afterAutospacing="0"/>
        <w:ind w:left="0" w:right="0" w:firstLine="420"/>
        <w:jc w:val="both"/>
      </w:pPr>
    </w:p>
    <w:p w14:paraId="03FFE4A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2B71B5C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t>促进残疾人就业的金融政策</w:t>
      </w:r>
    </w:p>
    <w:p w14:paraId="5DA36B3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2C784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D04C81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92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t>《残疾人就业条例》规定，国家对自主择业、自主创业的残疾人在一定期限内给予小额信贷等扶持。</w:t>
      </w:r>
    </w:p>
    <w:p w14:paraId="6B0C60F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2405" cy="7086600"/>
            <wp:effectExtent l="0" t="0" r="635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E6B15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EB27C0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5525CD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t>促进残疾人就业的税收政策</w:t>
      </w:r>
    </w:p>
    <w:p w14:paraId="53227EB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769EBA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EF4904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92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t>《中华人民共和国个人所得税法》《促进残疾人就业增值税优惠政策管理办法》等相关政策文件规定，通过对个人所得税、企业增值税、企业所得税以及其他税费的优惠等税收政策，促进残疾人就业。</w:t>
      </w:r>
    </w:p>
    <w:p w14:paraId="4B95828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3040" cy="7666355"/>
            <wp:effectExtent l="0" t="0" r="0" b="1460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0500" cy="7875905"/>
            <wp:effectExtent l="0" t="0" r="2540" b="317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ECA56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2" w:beforeAutospacing="0" w:after="192" w:afterAutospacing="0"/>
        <w:ind w:left="0" w:right="0" w:firstLine="420"/>
        <w:jc w:val="both"/>
      </w:pPr>
    </w:p>
    <w:p w14:paraId="6549D9E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F292C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t>促进残疾人就业的合理便利措施</w:t>
      </w:r>
    </w:p>
    <w:p w14:paraId="303E72A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E9E91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5C19F6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92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t>2024年9月，中共中央、国务院《关于实施就业优先战略促进高质量充分就业的意见》提出，加强对大龄、残疾、较长时间失业等就业困难群体的帮扶，合理确定、动态调整就业困难人员认定标准，完善及时发现、优先服务、精准帮扶、动态管理的就业援助制度。</w:t>
      </w:r>
    </w:p>
    <w:p w14:paraId="3004691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kern w:val="0"/>
          <w:sz w:val="20"/>
          <w:szCs w:val="20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3040" cy="7752715"/>
            <wp:effectExtent l="0" t="0" r="0" b="444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5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56DC5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2" w:beforeAutospacing="0" w:after="192" w:afterAutospacing="0"/>
        <w:ind w:left="0" w:right="0" w:firstLine="420"/>
        <w:jc w:val="both"/>
      </w:pPr>
    </w:p>
    <w:p w14:paraId="68A2ECE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E3FB8D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t>残疾大学生就业帮扶</w:t>
      </w:r>
    </w:p>
    <w:p w14:paraId="111A11A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1CC7F5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92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9"/>
          <w:szCs w:val="19"/>
          <w:bdr w:val="none" w:color="auto" w:sz="0" w:space="0"/>
          <w:shd w:val="clear" w:fill="FFFFFF"/>
        </w:rPr>
        <w:t>2024 年 5 月，人力资源社会保障部等3 个部门联合印发《关于做好高校毕业生等青年就业创业工作的通知》（人社部发〔2024〕44 号），强化困难高校毕业生结对帮扶，加强与农业农村、残联部门信息共享，及时将脱贫家庭毕业生、残疾毕业生、长期失业青年、求职补贴发放对象纳入帮扶台账，制定专项计划，开展“一对一”结对帮扶，针对性提供高质量岗位信息。</w:t>
      </w:r>
    </w:p>
    <w:p w14:paraId="26B68B8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92" w:beforeAutospacing="0" w:after="192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t>《关于进一步推进实施百万就业见习岗位募集计划》提出，重点锁定困难毕业生，定期与低保、脱贫、残疾等数据库开展比对，及时组织符合条件人员参加见习。</w:t>
      </w:r>
    </w:p>
    <w:p w14:paraId="632D78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4"/>
          <w:szCs w:val="14"/>
          <w:bdr w:val="none" w:color="auto" w:sz="0" w:space="0"/>
          <w:shd w:val="clear" w:fill="FFFFFF"/>
        </w:rPr>
        <w:t>来源：重庆残联</w:t>
      </w:r>
    </w:p>
    <w:p w14:paraId="2D0DCCD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4"/>
          <w:szCs w:val="14"/>
          <w:bdr w:val="none" w:color="auto" w:sz="0" w:space="0"/>
          <w:shd w:val="clear" w:fill="FFFFFF"/>
        </w:rPr>
        <w:t>声明：版权归原作者所有，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4"/>
          <w:szCs w:val="14"/>
          <w:bdr w:val="none" w:color="auto" w:sz="0" w:space="0"/>
          <w:shd w:val="clear" w:fill="FFFFFF"/>
        </w:rPr>
        <w:t>重机电就创业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14"/>
          <w:szCs w:val="14"/>
          <w:bdr w:val="none" w:color="auto" w:sz="0" w:space="0"/>
          <w:shd w:val="clear" w:fill="FFFFFF"/>
        </w:rPr>
        <w:t>刊载此文出于为毕业生提供就业信息，如有异议，请联系我们，我们会立即处理。</w:t>
      </w:r>
    </w:p>
    <w:p w14:paraId="01775A9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14"/>
          <w:szCs w:val="14"/>
        </w:rPr>
      </w:pPr>
    </w:p>
    <w:p w14:paraId="5DF24F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14"/>
          <w:szCs w:val="14"/>
        </w:rPr>
      </w:pPr>
    </w:p>
    <w:p w14:paraId="659213A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14"/>
          <w:szCs w:val="14"/>
        </w:rPr>
      </w:pPr>
    </w:p>
    <w:p w14:paraId="2E8A110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270500" cy="2625090"/>
            <wp:effectExtent l="0" t="0" r="2540" b="11430"/>
            <wp:docPr id="7" name="图片 8" descr="微信图片_2024112422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微信图片_2024112422271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F27DD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687C4D"/>
    <w:rsid w:val="4268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2025-11-05T07:59:00Z</dcterms:created>
  <dc:creator>纪棠</dc:creator>
  <cp:lastModifiedBy>纪棠</cp:lastModifiedBy>
  <dcterms:modified xsi:type="dcterms:W3CDTF">2025-11-05T08:00:41Z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960994496BDD40208CE53A560E5C36C7_11</vt:lpwstr>
  </property>
  <property fmtid="{D5CDD505-2E9C-101B-9397-08002B2CF9AE}" pid="4" name="KSOTemplateDocerSaveRecord">
    <vt:lpwstr>eyJoZGlkIjoiZGM1NzFjMjEyNmU2Mzg2YTgyOTA0YTg3MTkxYTI2MDEiLCJ1c2VySWQiOiI5OTU5MjgzMjUifQ==</vt:lpwstr>
  </property>
</Properties>
</file>