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AE5D" w14:textId="77777777" w:rsidR="00814CAC" w:rsidRDefault="00814CAC" w:rsidP="003B0F94">
      <w:pPr>
        <w:widowControl/>
        <w:kinsoku w:val="0"/>
        <w:adjustRightInd w:val="0"/>
        <w:snapToGrid w:val="0"/>
        <w:ind w:rightChars="-100" w:right="-220"/>
        <w:textAlignment w:val="baseline"/>
        <w:rPr>
          <w:rFonts w:ascii="方正仿宋_GBK" w:eastAsia="方正仿宋_GBK" w:hAnsi="方正仿宋_GBK" w:cs="方正仿宋_GBK" w:hint="eastAsia"/>
          <w:snapToGrid w:val="0"/>
          <w:color w:val="000000"/>
          <w:spacing w:val="4"/>
          <w:sz w:val="31"/>
          <w:szCs w:val="31"/>
          <w:lang w:val="en-US" w:bidi="ar-SA"/>
        </w:rPr>
      </w:pPr>
    </w:p>
    <w:p w14:paraId="753F2CE1" w14:textId="77777777" w:rsidR="00814CAC" w:rsidRDefault="00000000">
      <w:pPr>
        <w:autoSpaceDE/>
        <w:autoSpaceDN/>
        <w:spacing w:line="600" w:lineRule="exact"/>
        <w:jc w:val="center"/>
        <w:rPr>
          <w:rFonts w:ascii="方正小标宋_GBK" w:eastAsia="方正小标宋_GBK" w:hAnsi="Calibri" w:cs="Times New Roman"/>
          <w:kern w:val="2"/>
          <w:sz w:val="44"/>
          <w:szCs w:val="44"/>
          <w:lang w:val="en-US" w:bidi="ar-SA"/>
        </w:rPr>
      </w:pPr>
      <w:r>
        <w:rPr>
          <w:rFonts w:ascii="方正小标宋_GBK" w:eastAsia="方正小标宋_GBK" w:hAnsi="Calibri" w:cs="Times New Roman"/>
          <w:kern w:val="2"/>
          <w:sz w:val="44"/>
          <w:szCs w:val="44"/>
          <w:lang w:val="en-US" w:bidi="ar-SA"/>
        </w:rPr>
        <w:pict w14:anchorId="191C9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4" o:spid="_x0000_s1026" type="#_x0000_t136" style="position:absolute;left:0;text-align:left;margin-left:-9.05pt;margin-top:24.1pt;width:429.4pt;height:73.3pt;z-index:-251656192;mso-width-relative:page;mso-height-relative:page" fillcolor="red" strokecolor="red">
            <v:shadow on="t" color="#b2b2b2" opacity="52428f" offset="8e-5mm,0" offset2="-2pt,-2pt"/>
            <v:textpath style="font-family:&quot;宋体&quot;" trim="t" fitpath="t" string="中共重庆机电职业技术大学委员会&#10;"/>
          </v:shape>
        </w:pict>
      </w:r>
    </w:p>
    <w:p w14:paraId="13A9A0C3" w14:textId="77777777" w:rsidR="00814CAC" w:rsidRDefault="00814CAC">
      <w:pPr>
        <w:autoSpaceDE/>
        <w:autoSpaceDN/>
        <w:spacing w:line="600" w:lineRule="exact"/>
        <w:jc w:val="center"/>
        <w:rPr>
          <w:rFonts w:ascii="方正小标宋_GBK" w:eastAsia="方正小标宋_GBK" w:hAnsi="Calibri" w:cs="Times New Roman"/>
          <w:kern w:val="2"/>
          <w:sz w:val="44"/>
          <w:szCs w:val="44"/>
          <w:lang w:val="en-US" w:bidi="ar-SA"/>
        </w:rPr>
      </w:pPr>
    </w:p>
    <w:p w14:paraId="6D891767" w14:textId="77777777" w:rsidR="00814CAC" w:rsidRDefault="00000000">
      <w:pPr>
        <w:autoSpaceDE/>
        <w:autoSpaceDN/>
        <w:spacing w:line="600" w:lineRule="exact"/>
        <w:jc w:val="center"/>
        <w:rPr>
          <w:rFonts w:ascii="方正小标宋_GBK" w:eastAsia="方正小标宋_GBK" w:hAnsi="Calibri" w:cs="Times New Roman"/>
          <w:kern w:val="2"/>
          <w:sz w:val="44"/>
          <w:szCs w:val="44"/>
          <w:lang w:val="en-US" w:bidi="ar-SA"/>
        </w:rPr>
      </w:pPr>
      <w:r>
        <w:rPr>
          <w:rFonts w:ascii="方正小标宋_GBK" w:eastAsia="方正小标宋_GBK" w:hAnsi="Calibri" w:cs="Times New Roman"/>
          <w:kern w:val="2"/>
          <w:sz w:val="44"/>
          <w:szCs w:val="44"/>
          <w:lang w:val="en-US" w:bidi="ar-SA"/>
        </w:rPr>
        <w:pict w14:anchorId="78EC9170">
          <v:shape id="_x0000_s1027" type="#_x0000_t136" style="position:absolute;left:0;text-align:left;margin-left:418.35pt;margin-top:4.9pt;width:75.15pt;height:78.9pt;z-index:-251654144;mso-width-relative:page;mso-height-relative:page" fillcolor="red" strokecolor="red">
            <v:shadow on="t" color="#b2b2b2" opacity="52428f" offset="8e-5mm,0" offset2="-2pt,-2pt"/>
            <v:textpath style="font-family:&quot;宋体&quot;" trim="t" fitpath="t" string="文件"/>
          </v:shape>
        </w:pict>
      </w:r>
    </w:p>
    <w:p w14:paraId="3F53BDF5" w14:textId="77777777" w:rsidR="00814CAC" w:rsidRDefault="00000000">
      <w:pPr>
        <w:autoSpaceDE/>
        <w:autoSpaceDN/>
        <w:spacing w:line="600" w:lineRule="exact"/>
        <w:jc w:val="center"/>
        <w:rPr>
          <w:rFonts w:ascii="方正小标宋_GBK" w:eastAsia="方正小标宋_GBK" w:hAnsi="Calibri" w:cs="Times New Roman"/>
          <w:kern w:val="2"/>
          <w:sz w:val="44"/>
          <w:szCs w:val="44"/>
          <w:lang w:val="en-US" w:bidi="ar-SA"/>
        </w:rPr>
      </w:pPr>
      <w:r>
        <w:rPr>
          <w:rFonts w:ascii="方正小标宋_GBK" w:eastAsia="方正小标宋_GBK" w:hAnsi="Calibri" w:cs="Times New Roman"/>
          <w:kern w:val="2"/>
          <w:sz w:val="44"/>
          <w:szCs w:val="44"/>
          <w:lang w:val="en-US" w:bidi="ar-SA"/>
        </w:rPr>
        <w:pict w14:anchorId="26947FA2">
          <v:shape id="_x0000_s1028" type="#_x0000_t136" style="position:absolute;left:0;text-align:left;margin-left:-11pt;margin-top:13.55pt;width:432.2pt;height:71.4pt;z-index:-251655168;mso-width-relative:page;mso-height-relative:page" fillcolor="red" strokecolor="red">
            <v:shadow on="t" color="#b2b2b2" opacity="52428f" offset="8e-5mm,0" offset2="-2pt,-2pt"/>
            <v:textpath style="font-family:&quot;宋体&quot;" trim="t" fitpath="t" string="重庆机电职业技术大学&#10;"/>
          </v:shape>
        </w:pict>
      </w:r>
    </w:p>
    <w:p w14:paraId="0AAB3D71" w14:textId="77777777" w:rsidR="00814CAC" w:rsidRDefault="00814CAC">
      <w:pPr>
        <w:autoSpaceDE/>
        <w:autoSpaceDN/>
        <w:spacing w:line="600" w:lineRule="exact"/>
        <w:jc w:val="center"/>
        <w:rPr>
          <w:rFonts w:ascii="方正小标宋_GBK" w:eastAsia="方正小标宋_GBK" w:hAnsi="Calibri" w:cs="Times New Roman"/>
          <w:kern w:val="2"/>
          <w:sz w:val="44"/>
          <w:szCs w:val="44"/>
          <w:lang w:val="en-US" w:bidi="ar-SA"/>
        </w:rPr>
      </w:pPr>
    </w:p>
    <w:p w14:paraId="6660DEEE" w14:textId="77777777" w:rsidR="00814CAC" w:rsidRDefault="00814CAC">
      <w:pPr>
        <w:autoSpaceDE/>
        <w:autoSpaceDN/>
        <w:spacing w:line="600" w:lineRule="exact"/>
        <w:jc w:val="center"/>
        <w:rPr>
          <w:rFonts w:ascii="方正小标宋_GBK" w:eastAsia="方正小标宋_GBK" w:hAnsi="Calibri" w:cs="Times New Roman"/>
          <w:kern w:val="2"/>
          <w:sz w:val="44"/>
          <w:szCs w:val="44"/>
          <w:lang w:val="en-US" w:bidi="ar-SA"/>
        </w:rPr>
      </w:pPr>
    </w:p>
    <w:p w14:paraId="2D554A39" w14:textId="77777777" w:rsidR="00814CAC" w:rsidRDefault="00814CAC">
      <w:pPr>
        <w:autoSpaceDE/>
        <w:autoSpaceDN/>
        <w:spacing w:line="600" w:lineRule="exact"/>
        <w:jc w:val="center"/>
        <w:rPr>
          <w:rFonts w:ascii="方正小标宋_GBK" w:eastAsia="方正小标宋_GBK" w:hAnsi="Calibri" w:cs="Times New Roman"/>
          <w:kern w:val="2"/>
          <w:sz w:val="44"/>
          <w:szCs w:val="44"/>
          <w:lang w:val="en-US" w:bidi="ar-SA"/>
        </w:rPr>
      </w:pPr>
    </w:p>
    <w:p w14:paraId="3C0D268D" w14:textId="77777777" w:rsidR="00814CAC" w:rsidRDefault="00814CAC">
      <w:pPr>
        <w:autoSpaceDE/>
        <w:autoSpaceDN/>
        <w:spacing w:line="500" w:lineRule="exact"/>
        <w:jc w:val="center"/>
        <w:rPr>
          <w:rFonts w:ascii="方正小标宋_GBK" w:eastAsia="方正小标宋_GBK" w:hAnsi="Calibri" w:cs="Times New Roman"/>
          <w:kern w:val="2"/>
          <w:sz w:val="44"/>
          <w:szCs w:val="44"/>
          <w:lang w:val="en-US" w:bidi="ar-SA"/>
        </w:rPr>
      </w:pPr>
    </w:p>
    <w:p w14:paraId="5F8CD1C0" w14:textId="77777777" w:rsidR="00814CAC" w:rsidRDefault="00000000">
      <w:pPr>
        <w:widowControl/>
        <w:autoSpaceDE/>
        <w:autoSpaceDN/>
        <w:spacing w:line="560" w:lineRule="exact"/>
        <w:jc w:val="center"/>
        <w:rPr>
          <w:rFonts w:ascii="Times New Roman" w:eastAsia="方正仿宋_GBK" w:hAnsi="Times New Roman" w:cs="Times New Roman"/>
          <w:sz w:val="32"/>
          <w:szCs w:val="32"/>
          <w:lang w:val="en-US" w:bidi="ar-SA"/>
        </w:rPr>
      </w:pPr>
      <w:r>
        <w:rPr>
          <w:rFonts w:ascii="Times New Roman" w:eastAsia="方正仿宋_GBK" w:hAnsi="Times New Roman" w:cs="Times New Roman" w:hint="eastAsia"/>
          <w:sz w:val="32"/>
          <w:szCs w:val="32"/>
          <w:lang w:val="en-US" w:bidi="ar-SA"/>
        </w:rPr>
        <w:t>重机电委</w:t>
      </w:r>
      <w:r>
        <w:rPr>
          <w:rFonts w:ascii="Times New Roman" w:eastAsia="方正仿宋_GBK" w:hAnsi="Times New Roman" w:cs="Times New Roman"/>
          <w:sz w:val="32"/>
          <w:szCs w:val="32"/>
          <w:lang w:val="en-US" w:bidi="ar-SA"/>
        </w:rPr>
        <w:t>发〔</w:t>
      </w:r>
      <w:r>
        <w:rPr>
          <w:rFonts w:ascii="Times New Roman" w:eastAsia="方正仿宋_GBK" w:hAnsi="Times New Roman" w:cs="Times New Roman"/>
          <w:sz w:val="32"/>
          <w:szCs w:val="32"/>
          <w:lang w:val="en-US" w:bidi="ar-SA"/>
        </w:rPr>
        <w:t>202</w:t>
      </w:r>
      <w:r>
        <w:rPr>
          <w:rFonts w:ascii="Times New Roman" w:eastAsia="方正仿宋_GBK" w:hAnsi="Times New Roman" w:cs="Times New Roman" w:hint="eastAsia"/>
          <w:sz w:val="32"/>
          <w:szCs w:val="32"/>
          <w:lang w:val="en-US" w:bidi="ar-SA"/>
        </w:rPr>
        <w:t>4</w:t>
      </w:r>
      <w:r>
        <w:rPr>
          <w:rFonts w:ascii="Times New Roman" w:eastAsia="方正仿宋_GBK" w:hAnsi="Times New Roman" w:cs="Times New Roman"/>
          <w:sz w:val="32"/>
          <w:szCs w:val="32"/>
          <w:lang w:val="en-US" w:bidi="ar-SA"/>
        </w:rPr>
        <w:t>〕</w:t>
      </w:r>
      <w:r>
        <w:rPr>
          <w:rFonts w:ascii="Times New Roman" w:eastAsia="方正仿宋_GBK" w:hAnsi="Times New Roman" w:cs="Times New Roman" w:hint="eastAsia"/>
          <w:sz w:val="32"/>
          <w:szCs w:val="32"/>
          <w:lang w:val="en-US" w:bidi="ar-SA"/>
        </w:rPr>
        <w:t>36</w:t>
      </w:r>
      <w:r>
        <w:rPr>
          <w:rFonts w:ascii="Times New Roman" w:eastAsia="方正仿宋_GBK" w:hAnsi="Times New Roman" w:cs="Times New Roman"/>
          <w:sz w:val="32"/>
          <w:szCs w:val="32"/>
          <w:lang w:val="en-US" w:bidi="ar-SA"/>
        </w:rPr>
        <w:t>号</w:t>
      </w:r>
    </w:p>
    <w:p w14:paraId="3857AD7C" w14:textId="77777777" w:rsidR="00814CAC" w:rsidRDefault="00000000">
      <w:pPr>
        <w:autoSpaceDE/>
        <w:autoSpaceDN/>
        <w:spacing w:line="600" w:lineRule="exact"/>
        <w:jc w:val="center"/>
        <w:rPr>
          <w:rFonts w:ascii="方正小标宋_GBK" w:eastAsia="方正小标宋_GBK" w:hAnsi="Calibri" w:cs="Times New Roman"/>
          <w:kern w:val="2"/>
          <w:sz w:val="44"/>
          <w:szCs w:val="44"/>
          <w:lang w:val="en-US" w:bidi="ar-SA"/>
        </w:rPr>
      </w:pPr>
      <w:r>
        <w:rPr>
          <w:rFonts w:ascii="方正小标宋_GBK" w:eastAsia="方正小标宋_GBK" w:hAnsi="Calibri" w:cs="Times New Roman"/>
          <w:noProof/>
          <w:kern w:val="2"/>
          <w:sz w:val="44"/>
          <w:szCs w:val="44"/>
          <w:lang w:val="en-US" w:bidi="ar-SA"/>
        </w:rPr>
        <mc:AlternateContent>
          <mc:Choice Requires="wps">
            <w:drawing>
              <wp:anchor distT="0" distB="0" distL="114300" distR="114300" simplePos="0" relativeHeight="251663360" behindDoc="0" locked="0" layoutInCell="1" allowOverlap="1" wp14:anchorId="29F12CC4" wp14:editId="244F168C">
                <wp:simplePos x="0" y="0"/>
                <wp:positionH relativeFrom="column">
                  <wp:posOffset>-103505</wp:posOffset>
                </wp:positionH>
                <wp:positionV relativeFrom="paragraph">
                  <wp:posOffset>13970</wp:posOffset>
                </wp:positionV>
                <wp:extent cx="5915025" cy="63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915025" cy="635"/>
                        </a:xfrm>
                        <a:prstGeom prst="straightConnector1">
                          <a:avLst/>
                        </a:prstGeom>
                        <a:ln w="9525" cap="flat" cmpd="sng">
                          <a:solidFill>
                            <a:srgbClr val="FF0000"/>
                          </a:solidFill>
                          <a:prstDash val="solid"/>
                          <a:headEnd type="none" w="med" len="med"/>
                          <a:tailEnd type="none" w="med" len="med"/>
                        </a:ln>
                      </wps:spPr>
                      <wps:bodyPr/>
                    </wps:wsp>
                  </a:graphicData>
                </a:graphic>
              </wp:anchor>
            </w:drawing>
          </mc:Choice>
          <mc:Fallback>
            <w:pict>
              <v:shapetype w14:anchorId="4E27D9C7" id="_x0000_t32" coordsize="21600,21600" o:spt="32" o:oned="t" path="m,l21600,21600e" filled="f">
                <v:path arrowok="t" fillok="f" o:connecttype="none"/>
                <o:lock v:ext="edit" shapetype="t"/>
              </v:shapetype>
              <v:shape id="直接箭头连接符 1" o:spid="_x0000_s1026" type="#_x0000_t32" style="position:absolute;margin-left:-8.15pt;margin-top:1.1pt;width:465.75pt;height:.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" strokecolor="red"/>
            </w:pict>
          </mc:Fallback>
        </mc:AlternateContent>
      </w:r>
    </w:p>
    <w:p w14:paraId="16A735C2" w14:textId="77777777" w:rsidR="00814CAC" w:rsidRDefault="00000000">
      <w:pPr>
        <w:autoSpaceDE/>
        <w:autoSpaceDN/>
        <w:spacing w:line="600" w:lineRule="exact"/>
        <w:jc w:val="center"/>
        <w:rPr>
          <w:rFonts w:ascii="方正小标宋_GBK" w:eastAsia="方正小标宋_GBK" w:hAnsi="Calibri" w:cs="Times New Roman"/>
          <w:b/>
          <w:sz w:val="44"/>
          <w:szCs w:val="44"/>
          <w:lang w:val="en-US" w:bidi="ar-SA"/>
        </w:rPr>
      </w:pPr>
      <w:r>
        <w:rPr>
          <w:rFonts w:ascii="方正小标宋_GBK" w:eastAsia="方正小标宋_GBK" w:hAnsi="Calibri" w:cs="Times New Roman" w:hint="eastAsia"/>
          <w:b/>
          <w:sz w:val="44"/>
          <w:szCs w:val="44"/>
          <w:lang w:val="en-US" w:bidi="ar-SA"/>
        </w:rPr>
        <w:t>中共重庆机电职业技术大学委员会</w:t>
      </w:r>
    </w:p>
    <w:p w14:paraId="27C6006F" w14:textId="77777777" w:rsidR="00814CAC" w:rsidRDefault="00000000">
      <w:pPr>
        <w:autoSpaceDE/>
        <w:autoSpaceDN/>
        <w:spacing w:line="600" w:lineRule="exact"/>
        <w:jc w:val="center"/>
        <w:rPr>
          <w:rFonts w:ascii="方正小标宋_GBK" w:eastAsia="方正小标宋_GBK" w:hAnsi="Calibri" w:cs="Times New Roman"/>
          <w:b/>
          <w:sz w:val="44"/>
          <w:szCs w:val="44"/>
          <w:lang w:val="en-US" w:bidi="ar-SA"/>
        </w:rPr>
      </w:pPr>
      <w:r>
        <w:rPr>
          <w:rFonts w:ascii="方正小标宋_GBK" w:eastAsia="方正小标宋_GBK" w:hAnsi="Calibri" w:cs="Times New Roman" w:hint="eastAsia"/>
          <w:b/>
          <w:sz w:val="44"/>
          <w:szCs w:val="44"/>
          <w:lang w:val="en-US" w:bidi="ar-SA"/>
        </w:rPr>
        <w:t>重庆机电职业技术大学</w:t>
      </w:r>
    </w:p>
    <w:p w14:paraId="720B7B90" w14:textId="77777777" w:rsidR="00814CAC" w:rsidRDefault="00000000">
      <w:pPr>
        <w:autoSpaceDE/>
        <w:autoSpaceDN/>
        <w:spacing w:line="600" w:lineRule="exact"/>
        <w:jc w:val="center"/>
        <w:rPr>
          <w:rFonts w:ascii="方正小标宋_GBK" w:eastAsia="方正小标宋_GBK" w:hAnsi="Calibri" w:cs="Times New Roman"/>
          <w:b/>
          <w:sz w:val="44"/>
          <w:szCs w:val="44"/>
          <w:lang w:val="en-US" w:bidi="ar-SA"/>
        </w:rPr>
      </w:pPr>
      <w:r>
        <w:rPr>
          <w:rFonts w:ascii="方正小标宋_GBK" w:eastAsia="方正小标宋_GBK" w:hAnsi="Calibri" w:cs="Times New Roman" w:hint="eastAsia"/>
          <w:b/>
          <w:sz w:val="44"/>
          <w:szCs w:val="44"/>
          <w:lang w:val="en-US" w:bidi="ar-SA"/>
        </w:rPr>
        <w:t>关于印发《突发公共事件应急预案》的通知</w:t>
      </w:r>
    </w:p>
    <w:p w14:paraId="3D9029F7" w14:textId="77777777" w:rsidR="00814CAC" w:rsidRDefault="00814CAC">
      <w:pPr>
        <w:autoSpaceDE/>
        <w:autoSpaceDN/>
        <w:spacing w:line="400" w:lineRule="exact"/>
        <w:jc w:val="center"/>
        <w:rPr>
          <w:rFonts w:ascii="方正小标宋_GBK" w:eastAsia="方正小标宋_GBK" w:hAnsi="Calibri" w:cs="Times New Roman"/>
          <w:b/>
          <w:sz w:val="44"/>
          <w:szCs w:val="44"/>
          <w:lang w:val="en-US" w:bidi="ar-SA"/>
        </w:rPr>
      </w:pPr>
    </w:p>
    <w:p w14:paraId="5EA6BCE0" w14:textId="77777777" w:rsidR="00814CAC" w:rsidRDefault="00000000">
      <w:pPr>
        <w:adjustRightInd w:val="0"/>
        <w:spacing w:line="600" w:lineRule="exact"/>
        <w:jc w:val="both"/>
        <w:rPr>
          <w:rFonts w:ascii="方正仿宋_GBK" w:eastAsia="方正仿宋_GBK" w:hAnsi="Calibri" w:cs="方正仿宋_GBK"/>
          <w:kern w:val="2"/>
          <w:sz w:val="32"/>
          <w:szCs w:val="32"/>
          <w:lang w:bidi="ar-SA"/>
        </w:rPr>
      </w:pPr>
      <w:r>
        <w:rPr>
          <w:rFonts w:ascii="方正仿宋_GBK" w:eastAsia="方正仿宋_GBK" w:hAnsi="Calibri" w:cs="方正仿宋_GBK" w:hint="eastAsia"/>
          <w:kern w:val="2"/>
          <w:sz w:val="32"/>
          <w:szCs w:val="32"/>
          <w:lang w:val="en-US" w:bidi="ar-SA"/>
        </w:rPr>
        <w:t>校属各单位</w:t>
      </w:r>
      <w:r>
        <w:rPr>
          <w:rFonts w:ascii="方正仿宋_GBK" w:eastAsia="方正仿宋_GBK" w:hAnsi="Calibri" w:cs="方正仿宋_GBK" w:hint="eastAsia"/>
          <w:kern w:val="2"/>
          <w:sz w:val="32"/>
          <w:szCs w:val="32"/>
          <w:lang w:bidi="ar-SA"/>
        </w:rPr>
        <w:t>：</w:t>
      </w:r>
    </w:p>
    <w:p w14:paraId="3DA8B68A" w14:textId="77777777" w:rsidR="00814CAC" w:rsidRDefault="00000000">
      <w:pPr>
        <w:adjustRightInd w:val="0"/>
        <w:spacing w:line="600" w:lineRule="exact"/>
        <w:ind w:firstLine="640"/>
        <w:jc w:val="both"/>
        <w:rPr>
          <w:rFonts w:ascii="方正仿宋_GBK" w:eastAsia="方正仿宋_GBK" w:hAnsi="Calibri" w:cs="方正仿宋_GBK"/>
          <w:kern w:val="2"/>
          <w:sz w:val="32"/>
          <w:szCs w:val="32"/>
          <w:lang w:bidi="ar-SA"/>
        </w:rPr>
      </w:pPr>
      <w:r>
        <w:rPr>
          <w:rFonts w:ascii="方正仿宋_GBK" w:eastAsia="方正仿宋_GBK" w:hAnsi="Calibri" w:cs="方正仿宋_GBK" w:hint="eastAsia"/>
          <w:kern w:val="2"/>
          <w:sz w:val="32"/>
          <w:szCs w:val="32"/>
          <w:lang w:bidi="ar-SA"/>
        </w:rPr>
        <w:t>学校《突发公共事件应急预案</w:t>
      </w:r>
      <w:r>
        <w:rPr>
          <w:rFonts w:ascii="方正仿宋_GBK" w:eastAsia="方正仿宋_GBK" w:hAnsi="Calibri" w:cs="方正仿宋_GBK" w:hint="eastAsia"/>
          <w:color w:val="000000" w:themeColor="text1"/>
          <w:kern w:val="2"/>
          <w:sz w:val="32"/>
          <w:szCs w:val="32"/>
          <w:lang w:bidi="ar-SA"/>
        </w:rPr>
        <w:t>》已经</w:t>
      </w:r>
      <w:r>
        <w:rPr>
          <w:rFonts w:ascii="方正仿宋_GBK" w:eastAsia="方正仿宋_GBK" w:hAnsi="Calibri" w:cs="方正仿宋_GBK" w:hint="eastAsia"/>
          <w:kern w:val="2"/>
          <w:sz w:val="32"/>
          <w:szCs w:val="32"/>
          <w:lang w:bidi="ar-SA"/>
        </w:rPr>
        <w:t>2024年第</w:t>
      </w:r>
      <w:r>
        <w:rPr>
          <w:rFonts w:ascii="方正仿宋_GBK" w:eastAsia="方正仿宋_GBK" w:hAnsi="Calibri" w:cs="方正仿宋_GBK" w:hint="eastAsia"/>
          <w:kern w:val="2"/>
          <w:sz w:val="32"/>
          <w:szCs w:val="32"/>
          <w:lang w:val="en-US" w:bidi="ar-SA"/>
        </w:rPr>
        <w:t>1</w:t>
      </w:r>
      <w:r>
        <w:rPr>
          <w:rFonts w:ascii="方正仿宋_GBK" w:eastAsia="方正仿宋_GBK" w:hAnsi="Calibri" w:cs="方正仿宋_GBK" w:hint="eastAsia"/>
          <w:kern w:val="2"/>
          <w:sz w:val="32"/>
          <w:szCs w:val="32"/>
          <w:lang w:bidi="ar-SA"/>
        </w:rPr>
        <w:t>3次校长办公会审议通过，现予以印发，请遵照执行。</w:t>
      </w:r>
    </w:p>
    <w:p w14:paraId="0C6FABD2" w14:textId="77777777" w:rsidR="00814CAC" w:rsidRDefault="00814CAC">
      <w:pPr>
        <w:adjustRightInd w:val="0"/>
        <w:spacing w:line="600" w:lineRule="exact"/>
        <w:jc w:val="both"/>
        <w:rPr>
          <w:rFonts w:ascii="方正仿宋_GBK" w:eastAsia="方正仿宋_GBK" w:hAnsi="Calibri" w:cs="方正仿宋_GBK"/>
          <w:kern w:val="2"/>
          <w:sz w:val="32"/>
          <w:szCs w:val="32"/>
          <w:lang w:bidi="ar-SA"/>
        </w:rPr>
      </w:pPr>
    </w:p>
    <w:p w14:paraId="331F490B" w14:textId="77777777" w:rsidR="00814CAC" w:rsidRDefault="00814CAC">
      <w:pPr>
        <w:autoSpaceDE/>
        <w:autoSpaceDN/>
        <w:spacing w:line="560" w:lineRule="exact"/>
        <w:jc w:val="both"/>
        <w:rPr>
          <w:rFonts w:ascii="方正仿宋_GBK" w:eastAsia="方正仿宋_GBK" w:hAnsi="Calibri" w:cs="方正仿宋_GBK"/>
          <w:kern w:val="2"/>
          <w:sz w:val="32"/>
          <w:szCs w:val="32"/>
          <w:lang w:bidi="ar-SA"/>
        </w:rPr>
      </w:pPr>
    </w:p>
    <w:p w14:paraId="5241F5D9" w14:textId="77777777" w:rsidR="00814CAC" w:rsidRDefault="00814CAC">
      <w:pPr>
        <w:autoSpaceDE/>
        <w:autoSpaceDN/>
        <w:spacing w:line="560" w:lineRule="exact"/>
        <w:jc w:val="both"/>
        <w:rPr>
          <w:rFonts w:ascii="方正仿宋_GBK" w:eastAsia="方正仿宋_GBK" w:hAnsi="Calibri" w:cs="方正仿宋_GBK"/>
          <w:kern w:val="2"/>
          <w:sz w:val="32"/>
          <w:szCs w:val="32"/>
          <w:lang w:bidi="ar-SA"/>
        </w:rPr>
      </w:pPr>
    </w:p>
    <w:p w14:paraId="47817147" w14:textId="77777777" w:rsidR="00814CAC" w:rsidRDefault="00000000">
      <w:pPr>
        <w:autoSpaceDE/>
        <w:autoSpaceDN/>
        <w:spacing w:line="560" w:lineRule="exact"/>
        <w:jc w:val="both"/>
        <w:rPr>
          <w:rFonts w:ascii="方正仿宋_GBK" w:eastAsia="方正仿宋_GBK" w:hAnsi="Calibri" w:cs="Times New Roman"/>
          <w:sz w:val="32"/>
          <w:szCs w:val="32"/>
          <w:lang w:val="en-US" w:bidi="ar-SA"/>
        </w:rPr>
      </w:pPr>
      <w:r>
        <w:rPr>
          <w:rFonts w:ascii="方正仿宋_GBK" w:eastAsia="方正仿宋_GBK" w:hAnsi="Calibri" w:cs="Times New Roman" w:hint="eastAsia"/>
          <w:spacing w:val="1"/>
          <w:w w:val="96"/>
          <w:sz w:val="32"/>
          <w:szCs w:val="32"/>
          <w:fitText w:val="8320" w:id="857286980"/>
          <w:lang w:val="en-US" w:bidi="ar-SA"/>
        </w:rPr>
        <w:t>中共重庆机电职业技术大学委员会    重庆机电职业技术大</w:t>
      </w:r>
      <w:r>
        <w:rPr>
          <w:rFonts w:ascii="方正仿宋_GBK" w:eastAsia="方正仿宋_GBK" w:hAnsi="Calibri" w:cs="Times New Roman" w:hint="eastAsia"/>
          <w:spacing w:val="12"/>
          <w:w w:val="96"/>
          <w:sz w:val="32"/>
          <w:szCs w:val="32"/>
          <w:fitText w:val="8320" w:id="857286980"/>
          <w:lang w:val="en-US" w:bidi="ar-SA"/>
        </w:rPr>
        <w:t>学</w:t>
      </w:r>
    </w:p>
    <w:p w14:paraId="4BE39CC4" w14:textId="77777777" w:rsidR="00814CAC" w:rsidRDefault="00000000">
      <w:pPr>
        <w:autoSpaceDE/>
        <w:autoSpaceDN/>
        <w:spacing w:line="560" w:lineRule="exact"/>
        <w:ind w:firstLineChars="1700" w:firstLine="5440"/>
        <w:jc w:val="both"/>
        <w:rPr>
          <w:rFonts w:ascii="方正仿宋_GBK" w:eastAsia="方正仿宋_GBK" w:hAnsi="Calibri" w:cs="Times New Roman"/>
          <w:sz w:val="32"/>
          <w:szCs w:val="32"/>
          <w:lang w:val="en-US" w:bidi="ar-SA"/>
        </w:rPr>
      </w:pPr>
      <w:r>
        <w:rPr>
          <w:rFonts w:ascii="方正仿宋_GBK" w:eastAsia="方正仿宋_GBK" w:hAnsi="Calibri" w:cs="Times New Roman" w:hint="eastAsia"/>
          <w:sz w:val="32"/>
          <w:szCs w:val="32"/>
          <w:lang w:val="en-US" w:bidi="ar-SA"/>
        </w:rPr>
        <w:t>2024年11月19日</w:t>
      </w:r>
    </w:p>
    <w:p w14:paraId="7601DB39" w14:textId="77777777" w:rsidR="00814CAC" w:rsidRDefault="00814CAC">
      <w:pPr>
        <w:autoSpaceDE/>
        <w:autoSpaceDN/>
        <w:spacing w:line="100" w:lineRule="exact"/>
        <w:jc w:val="both"/>
        <w:rPr>
          <w:rFonts w:ascii="方正仿宋_GBK" w:eastAsia="方正仿宋_GBK" w:hAnsi="Calibri" w:cs="Times New Roman"/>
          <w:sz w:val="32"/>
          <w:szCs w:val="32"/>
          <w:lang w:val="en-US" w:bidi="ar-SA"/>
        </w:rPr>
      </w:pPr>
    </w:p>
    <w:p w14:paraId="4044199C" w14:textId="77777777" w:rsidR="00814CAC" w:rsidRDefault="00814CAC">
      <w:pPr>
        <w:adjustRightInd w:val="0"/>
        <w:snapToGrid w:val="0"/>
        <w:spacing w:line="560" w:lineRule="exact"/>
        <w:ind w:leftChars="-150" w:left="-330" w:rightChars="-150" w:right="-330"/>
        <w:jc w:val="center"/>
        <w:rPr>
          <w:rFonts w:ascii="Times New Roman" w:eastAsia="方正小标宋_GBK" w:hAnsi="Times New Roman"/>
          <w:sz w:val="44"/>
          <w:szCs w:val="44"/>
        </w:rPr>
      </w:pPr>
    </w:p>
    <w:p w14:paraId="0F9751E9" w14:textId="77777777" w:rsidR="00814CAC" w:rsidRDefault="00814CAC">
      <w:pPr>
        <w:adjustRightInd w:val="0"/>
        <w:snapToGrid w:val="0"/>
        <w:spacing w:line="560" w:lineRule="exact"/>
        <w:ind w:rightChars="-150" w:right="-330"/>
        <w:jc w:val="both"/>
        <w:rPr>
          <w:rFonts w:ascii="Times New Roman" w:eastAsia="方正小标宋_GBK" w:hAnsi="Times New Roman"/>
          <w:sz w:val="44"/>
          <w:szCs w:val="44"/>
        </w:rPr>
      </w:pPr>
    </w:p>
    <w:p w14:paraId="3B2E2220" w14:textId="77777777" w:rsidR="00814CAC" w:rsidRDefault="00000000">
      <w:pPr>
        <w:autoSpaceDE/>
        <w:autoSpaceDN/>
        <w:adjustRightInd w:val="0"/>
        <w:snapToGrid w:val="0"/>
        <w:spacing w:beforeLines="300" w:before="936"/>
        <w:jc w:val="center"/>
        <w:rPr>
          <w:rFonts w:ascii="方正小标宋_GBK" w:eastAsia="方正小标宋_GBK" w:hAnsi="Times New Roman" w:cs="Times New Roman"/>
          <w:kern w:val="2"/>
          <w:sz w:val="72"/>
          <w:szCs w:val="72"/>
          <w:lang w:val="en-US" w:bidi="ar-SA"/>
        </w:rPr>
      </w:pPr>
      <w:r>
        <w:rPr>
          <w:rFonts w:ascii="方正小标宋_GBK" w:eastAsia="方正小标宋_GBK" w:hAnsi="Times New Roman" w:cs="Times New Roman" w:hint="eastAsia"/>
          <w:kern w:val="2"/>
          <w:sz w:val="72"/>
          <w:szCs w:val="72"/>
          <w:lang w:val="en-US" w:bidi="ar-SA"/>
        </w:rPr>
        <w:t>重庆机电职业技术大学</w:t>
      </w:r>
    </w:p>
    <w:p w14:paraId="73DFEE3A" w14:textId="77777777" w:rsidR="00814CAC" w:rsidRDefault="00000000">
      <w:pPr>
        <w:autoSpaceDE/>
        <w:autoSpaceDN/>
        <w:adjustRightInd w:val="0"/>
        <w:snapToGrid w:val="0"/>
        <w:jc w:val="center"/>
        <w:rPr>
          <w:rFonts w:ascii="方正小标宋_GBK" w:eastAsia="方正小标宋_GBK" w:hAnsi="Times New Roman" w:cs="Times New Roman"/>
          <w:kern w:val="2"/>
          <w:sz w:val="44"/>
          <w:szCs w:val="44"/>
          <w:lang w:val="en-US" w:bidi="ar-SA"/>
        </w:rPr>
      </w:pPr>
      <w:r>
        <w:rPr>
          <w:rFonts w:ascii="方正小标宋_GBK" w:eastAsia="方正小标宋_GBK" w:hAnsi="Times New Roman" w:cs="Times New Roman" w:hint="eastAsia"/>
          <w:kern w:val="2"/>
          <w:sz w:val="72"/>
          <w:szCs w:val="72"/>
          <w:lang w:val="en-US" w:bidi="ar-SA"/>
        </w:rPr>
        <w:t>突发公共事件应急预案</w:t>
      </w:r>
    </w:p>
    <w:p w14:paraId="70C327A5"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09D4D975"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45A7225D"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37DE20DA"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5F9F2795"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77BE578B"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5C315639"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6BC5A3BE"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1827A477"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43DD2732"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16358B53"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1F2EA0AF"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5AD70F85"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077B5921"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22170B7A"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691FFB8B"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0B01F47E" w14:textId="77777777" w:rsidR="00814CAC" w:rsidRDefault="00814CAC">
      <w:pPr>
        <w:autoSpaceDE/>
        <w:autoSpaceDN/>
        <w:adjustRightInd w:val="0"/>
        <w:snapToGrid w:val="0"/>
        <w:jc w:val="center"/>
        <w:rPr>
          <w:rFonts w:ascii="方正仿宋_GBK" w:eastAsia="方正仿宋_GBK" w:hAnsi="Times New Roman" w:cs="Times New Roman"/>
          <w:kern w:val="2"/>
          <w:sz w:val="32"/>
          <w:szCs w:val="32"/>
          <w:lang w:val="en-US" w:bidi="ar-SA"/>
        </w:rPr>
      </w:pPr>
    </w:p>
    <w:p w14:paraId="650D35F3" w14:textId="77777777" w:rsidR="00814CAC" w:rsidRDefault="00000000">
      <w:pPr>
        <w:autoSpaceDE/>
        <w:autoSpaceDN/>
        <w:adjustRightInd w:val="0"/>
        <w:snapToGrid w:val="0"/>
        <w:jc w:val="center"/>
        <w:rPr>
          <w:rFonts w:ascii="方正小标宋_GBK" w:eastAsia="方正小标宋_GBK" w:hAnsi="Times New Roman"/>
          <w:sz w:val="32"/>
          <w:szCs w:val="32"/>
        </w:rPr>
        <w:sectPr w:rsidR="00814CAC">
          <w:footerReference w:type="default" r:id="rId9"/>
          <w:pgSz w:w="11906" w:h="16838"/>
          <w:pgMar w:top="1440" w:right="1797" w:bottom="1440" w:left="1797" w:header="851" w:footer="992" w:gutter="0"/>
          <w:pgNumType w:fmt="numberInDash"/>
          <w:cols w:space="425"/>
          <w:docGrid w:type="lines" w:linePitch="312"/>
        </w:sectPr>
      </w:pPr>
      <w:r>
        <w:rPr>
          <w:rFonts w:ascii="Times New Roman" w:eastAsia="方正仿宋_GBK" w:hAnsi="Times New Roman" w:cs="Times New Roman"/>
          <w:kern w:val="2"/>
          <w:sz w:val="32"/>
          <w:szCs w:val="32"/>
          <w:lang w:val="en-US" w:bidi="ar-SA"/>
        </w:rPr>
        <w:t>202</w:t>
      </w:r>
      <w:r>
        <w:rPr>
          <w:rFonts w:ascii="Times New Roman" w:eastAsia="方正仿宋_GBK" w:hAnsi="Times New Roman" w:cs="Times New Roman" w:hint="eastAsia"/>
          <w:kern w:val="2"/>
          <w:sz w:val="32"/>
          <w:szCs w:val="32"/>
          <w:lang w:val="en-US" w:bidi="ar-SA"/>
        </w:rPr>
        <w:t>4</w:t>
      </w:r>
      <w:r>
        <w:rPr>
          <w:rFonts w:ascii="Times New Roman" w:eastAsia="方正仿宋_GBK" w:hAnsi="Times New Roman" w:cs="Times New Roman"/>
          <w:kern w:val="2"/>
          <w:sz w:val="32"/>
          <w:szCs w:val="32"/>
          <w:lang w:val="en-US" w:bidi="ar-SA"/>
        </w:rPr>
        <w:t>年</w:t>
      </w:r>
      <w:r>
        <w:rPr>
          <w:rFonts w:ascii="Times New Roman" w:eastAsia="方正仿宋_GBK" w:hAnsi="Times New Roman" w:cs="Times New Roman" w:hint="eastAsia"/>
          <w:kern w:val="2"/>
          <w:sz w:val="32"/>
          <w:szCs w:val="32"/>
          <w:lang w:val="en-US" w:bidi="ar-SA"/>
        </w:rPr>
        <w:t>11</w:t>
      </w:r>
      <w:r>
        <w:rPr>
          <w:rFonts w:ascii="Times New Roman" w:eastAsia="方正仿宋_GBK" w:hAnsi="Times New Roman" w:cs="Times New Roman"/>
          <w:kern w:val="2"/>
          <w:sz w:val="32"/>
          <w:szCs w:val="32"/>
          <w:lang w:val="en-US" w:bidi="ar-SA"/>
        </w:rPr>
        <w:t>月</w:t>
      </w:r>
    </w:p>
    <w:p w14:paraId="46DBA39D" w14:textId="77777777" w:rsidR="00814CAC" w:rsidRDefault="00000000">
      <w:pPr>
        <w:jc w:val="center"/>
        <w:rPr>
          <w:rFonts w:ascii="黑体" w:eastAsia="黑体" w:hAnsi="黑体" w:cs="Times New Roman" w:hint="eastAsia"/>
          <w:kern w:val="2"/>
          <w:sz w:val="32"/>
          <w:szCs w:val="32"/>
          <w:lang w:val="en-US" w:bidi="ar-SA"/>
        </w:rPr>
      </w:pPr>
      <w:bookmarkStart w:id="0" w:name="_Toc106693273"/>
      <w:r>
        <w:rPr>
          <w:rFonts w:ascii="黑体" w:eastAsia="黑体" w:hAnsi="黑体" w:cs="Times New Roman" w:hint="eastAsia"/>
          <w:kern w:val="2"/>
          <w:sz w:val="32"/>
          <w:szCs w:val="32"/>
          <w:lang w:val="en-US" w:bidi="ar-SA"/>
        </w:rPr>
        <w:lastRenderedPageBreak/>
        <w:t>1 总则</w:t>
      </w:r>
      <w:bookmarkEnd w:id="0"/>
    </w:p>
    <w:p w14:paraId="73208CEF"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1" w:name="_Toc106693274"/>
      <w:r>
        <w:rPr>
          <w:rFonts w:ascii="黑体" w:eastAsia="黑体" w:hAnsi="黑体" w:cs="Times New Roman" w:hint="eastAsia"/>
          <w:kern w:val="2"/>
          <w:sz w:val="32"/>
          <w:szCs w:val="32"/>
          <w:lang w:val="en-US" w:bidi="ar-SA"/>
        </w:rPr>
        <w:t>1.1编制目的</w:t>
      </w:r>
      <w:bookmarkEnd w:id="1"/>
    </w:p>
    <w:p w14:paraId="42CB90EE"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通过本预案的编制和实施，建立健全学校应急管理长效机制，形成统一指挥、结构完整、反应灵敏、运转高效、科学合理的应急管理体制，最大限度地降低各类突发公共事件造成的损害，最大程度地保护师生员工生命安全和降低财产损失，保证学校正常的教学科研和生活秩序，维护学校安全稳定，为学校高质量发展提供安全保障。</w:t>
      </w:r>
    </w:p>
    <w:p w14:paraId="1683C7B7"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2" w:name="_Toc106693275"/>
      <w:r>
        <w:rPr>
          <w:rFonts w:ascii="黑体" w:eastAsia="黑体" w:hAnsi="黑体" w:cs="Times New Roman" w:hint="eastAsia"/>
          <w:kern w:val="2"/>
          <w:sz w:val="32"/>
          <w:szCs w:val="32"/>
          <w:lang w:val="en-US" w:bidi="ar-SA"/>
        </w:rPr>
        <w:t>1.2编制依据</w:t>
      </w:r>
      <w:bookmarkEnd w:id="2"/>
    </w:p>
    <w:p w14:paraId="5891755F"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依据《中华人民共和国突发事件应对法》《中华人民共和国安全生产法》《国家突发公共事件总体应急预案》《教育系统突发公共事件应急预案》《重庆市突发事件应对条例》《重庆市突发事件应急预案管理办法》《重庆市突发公共事件总体应急预案》《重庆市教育系统突发公共事件应急预案》等，制定本预案。</w:t>
      </w:r>
    </w:p>
    <w:p w14:paraId="5F5098B3"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3" w:name="_Toc106693276"/>
      <w:r>
        <w:rPr>
          <w:rFonts w:ascii="黑体" w:eastAsia="黑体" w:hAnsi="黑体" w:cs="Times New Roman" w:hint="eastAsia"/>
          <w:kern w:val="2"/>
          <w:sz w:val="32"/>
          <w:szCs w:val="32"/>
          <w:lang w:val="en-US" w:bidi="ar-SA"/>
        </w:rPr>
        <w:t>1.3适用范围</w:t>
      </w:r>
      <w:bookmarkEnd w:id="3"/>
    </w:p>
    <w:p w14:paraId="31FEE70A"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本预案适用于学校应对自然灾害、事故灾难、公共卫生、社会安全、网络安全、考试安全等各类突发公共事件的应急处置工作。</w:t>
      </w:r>
    </w:p>
    <w:p w14:paraId="1AF24693"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学校及校属各单位可根据工作实际，制定并实施符合本预案要求的专项预案或临时预案。</w:t>
      </w:r>
    </w:p>
    <w:p w14:paraId="5B8A2402"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4" w:name="_Toc106693277"/>
      <w:r>
        <w:rPr>
          <w:rFonts w:ascii="黑体" w:eastAsia="黑体" w:hAnsi="黑体" w:cs="Times New Roman" w:hint="eastAsia"/>
          <w:kern w:val="2"/>
          <w:sz w:val="32"/>
          <w:szCs w:val="32"/>
          <w:lang w:val="en-US" w:bidi="ar-SA"/>
        </w:rPr>
        <w:t>1.4工作原则</w:t>
      </w:r>
      <w:bookmarkEnd w:id="4"/>
    </w:p>
    <w:p w14:paraId="5D9439D1"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1.4.1</w:t>
      </w:r>
      <w:r>
        <w:rPr>
          <w:rFonts w:ascii="Times New Roman" w:eastAsia="方正楷体_GBK" w:hAnsi="Times New Roman" w:cs="Times New Roman" w:hint="eastAsia"/>
          <w:kern w:val="2"/>
          <w:sz w:val="32"/>
          <w:szCs w:val="32"/>
          <w:lang w:val="en-US" w:bidi="ar-SA"/>
        </w:rPr>
        <w:t>以人为本，预防为主。</w:t>
      </w:r>
      <w:r>
        <w:rPr>
          <w:rFonts w:ascii="Times New Roman" w:eastAsia="方正仿宋_GBK" w:hAnsi="Times New Roman" w:cs="Times New Roman" w:hint="eastAsia"/>
          <w:kern w:val="2"/>
          <w:sz w:val="32"/>
          <w:szCs w:val="32"/>
          <w:lang w:val="en-US" w:bidi="ar-SA"/>
        </w:rPr>
        <w:t>始终把师生生命安全摆在最重要位置，坚持“安全第一、预防为主、综合治理”的方针，</w:t>
      </w:r>
      <w:r>
        <w:rPr>
          <w:rFonts w:ascii="Times New Roman" w:eastAsia="方正仿宋_GBK" w:hAnsi="Times New Roman" w:cs="Times New Roman" w:hint="eastAsia"/>
          <w:kern w:val="2"/>
          <w:sz w:val="32"/>
          <w:szCs w:val="32"/>
          <w:lang w:val="en-US" w:bidi="ar-SA"/>
        </w:rPr>
        <w:lastRenderedPageBreak/>
        <w:t>最大限度地防止和减少突发公共事件造成的社会影响和次生事件。</w:t>
      </w:r>
    </w:p>
    <w:p w14:paraId="1A7ADFA5"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1.4.2</w:t>
      </w:r>
      <w:r>
        <w:rPr>
          <w:rFonts w:ascii="Times New Roman" w:eastAsia="方正楷体_GBK" w:hAnsi="Times New Roman" w:cs="Times New Roman" w:hint="eastAsia"/>
          <w:kern w:val="2"/>
          <w:sz w:val="32"/>
          <w:szCs w:val="32"/>
          <w:lang w:val="en-US" w:bidi="ar-SA"/>
        </w:rPr>
        <w:t>统一领导，分工协作。</w:t>
      </w:r>
      <w:r>
        <w:rPr>
          <w:rFonts w:ascii="Times New Roman" w:eastAsia="方正仿宋_GBK" w:hAnsi="Times New Roman" w:cs="Times New Roman" w:hint="eastAsia"/>
          <w:kern w:val="2"/>
          <w:sz w:val="32"/>
          <w:szCs w:val="32"/>
          <w:lang w:val="en-US" w:bidi="ar-SA"/>
        </w:rPr>
        <w:t>按照“管行业必须管安全、管业务必须管安全、管生产经营必须管安全”的要求，学校安全稳定工作领导小组统一领导学校突发公共事件应急预案的制定、实施和动态管理。各单位按照职责划分和预案要求，协同参与应急处置。</w:t>
      </w:r>
    </w:p>
    <w:p w14:paraId="76E272D0"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1.4.3</w:t>
      </w:r>
      <w:r>
        <w:rPr>
          <w:rFonts w:ascii="Times New Roman" w:eastAsia="方正楷体_GBK" w:hAnsi="Times New Roman" w:cs="Times New Roman" w:hint="eastAsia"/>
          <w:kern w:val="2"/>
          <w:sz w:val="32"/>
          <w:szCs w:val="32"/>
          <w:lang w:val="en-US" w:bidi="ar-SA"/>
        </w:rPr>
        <w:t>平战结合，以练为战。</w:t>
      </w:r>
      <w:r>
        <w:rPr>
          <w:rFonts w:ascii="Times New Roman" w:eastAsia="方正仿宋_GBK" w:hAnsi="Times New Roman" w:cs="Times New Roman" w:hint="eastAsia"/>
          <w:kern w:val="2"/>
          <w:sz w:val="32"/>
          <w:szCs w:val="32"/>
          <w:lang w:val="en-US" w:bidi="ar-SA"/>
        </w:rPr>
        <w:t>坚持应急与预防相结合，坚持险时应急与平时防范相结合，加强预防、预测、预警和预报工作，做好常态下的应急准备工作。</w:t>
      </w:r>
    </w:p>
    <w:p w14:paraId="685B8667"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1.4.4</w:t>
      </w:r>
      <w:r>
        <w:rPr>
          <w:rFonts w:ascii="Times New Roman" w:eastAsia="方正楷体_GBK" w:hAnsi="Times New Roman" w:cs="Times New Roman" w:hint="eastAsia"/>
          <w:kern w:val="2"/>
          <w:sz w:val="32"/>
          <w:szCs w:val="32"/>
          <w:lang w:val="en-US" w:bidi="ar-SA"/>
        </w:rPr>
        <w:t>科学应急，依法处置。</w:t>
      </w:r>
      <w:r>
        <w:rPr>
          <w:rFonts w:ascii="Times New Roman" w:eastAsia="方正仿宋_GBK" w:hAnsi="Times New Roman" w:cs="Times New Roman" w:hint="eastAsia"/>
          <w:kern w:val="2"/>
          <w:sz w:val="32"/>
          <w:szCs w:val="32"/>
          <w:lang w:val="en-US" w:bidi="ar-SA"/>
        </w:rPr>
        <w:t>综合运用各类处置方法，积极采用先进的应急装备和技术，依据有关法律法规和学校规定，严格依法开展应急保障、组织指挥、信息发布和善后恢复工作。</w:t>
      </w:r>
    </w:p>
    <w:p w14:paraId="1A400C8A"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5" w:name="_Toc106693278"/>
      <w:r>
        <w:rPr>
          <w:rFonts w:ascii="黑体" w:eastAsia="黑体" w:hAnsi="黑体" w:cs="Times New Roman" w:hint="eastAsia"/>
          <w:kern w:val="2"/>
          <w:sz w:val="32"/>
          <w:szCs w:val="32"/>
          <w:lang w:val="en-US" w:bidi="ar-SA"/>
        </w:rPr>
        <w:t>1.5事件分级</w:t>
      </w:r>
      <w:bookmarkEnd w:id="5"/>
    </w:p>
    <w:p w14:paraId="262DCBEC"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依据《重庆市教育系统突发公共事件总体应急预案》，结合学校突发公共事件的性质、危害程度、潜在影响等，学校突发公共事件分为特别重大事件（一级）、重大事件（二级）、较大事件（三级）和一般事件（四级）。</w:t>
      </w:r>
    </w:p>
    <w:p w14:paraId="45F4E2A4" w14:textId="77777777" w:rsidR="00814CAC" w:rsidRDefault="00814CAC">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p>
    <w:p w14:paraId="5EA79979" w14:textId="77777777" w:rsidR="00814CAC" w:rsidRDefault="00000000">
      <w:pPr>
        <w:jc w:val="center"/>
        <w:rPr>
          <w:rFonts w:ascii="黑体" w:eastAsia="黑体" w:hAnsi="黑体" w:cs="Times New Roman" w:hint="eastAsia"/>
          <w:kern w:val="2"/>
          <w:sz w:val="32"/>
          <w:szCs w:val="32"/>
          <w:lang w:val="en-US" w:bidi="ar-SA"/>
        </w:rPr>
      </w:pPr>
      <w:bookmarkStart w:id="6" w:name="_Toc106693279"/>
      <w:r>
        <w:rPr>
          <w:rFonts w:ascii="黑体" w:eastAsia="黑体" w:hAnsi="黑体" w:cs="Times New Roman" w:hint="eastAsia"/>
          <w:kern w:val="2"/>
          <w:sz w:val="32"/>
          <w:szCs w:val="32"/>
          <w:lang w:val="en-US" w:bidi="ar-SA"/>
        </w:rPr>
        <w:t>2 组织领导</w:t>
      </w:r>
      <w:bookmarkEnd w:id="6"/>
    </w:p>
    <w:p w14:paraId="5EB7A660"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7" w:name="_Toc106693280"/>
      <w:r>
        <w:rPr>
          <w:rFonts w:ascii="黑体" w:eastAsia="黑体" w:hAnsi="黑体" w:cs="Times New Roman" w:hint="eastAsia"/>
          <w:kern w:val="2"/>
          <w:sz w:val="32"/>
          <w:szCs w:val="32"/>
          <w:lang w:val="en-US" w:bidi="ar-SA"/>
        </w:rPr>
        <w:t>2.1组织机构</w:t>
      </w:r>
      <w:bookmarkEnd w:id="7"/>
    </w:p>
    <w:p w14:paraId="46768E89" w14:textId="77777777" w:rsidR="00814CAC" w:rsidRDefault="00000000">
      <w:pPr>
        <w:autoSpaceDE/>
        <w:autoSpaceDN/>
        <w:spacing w:line="560" w:lineRule="exact"/>
        <w:ind w:firstLineChars="200" w:firstLine="640"/>
        <w:jc w:val="both"/>
        <w:rPr>
          <w:rFonts w:ascii="Times New Roman" w:eastAsia="方正仿宋简体"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学校突发公共事件应急处置工作由学校安全稳定工作领导小组及其办公室负责。</w:t>
      </w:r>
    </w:p>
    <w:p w14:paraId="4D46F98E"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8" w:name="_Toc106693281"/>
      <w:r>
        <w:rPr>
          <w:rFonts w:ascii="黑体" w:eastAsia="黑体" w:hAnsi="黑体" w:cs="Times New Roman" w:hint="eastAsia"/>
          <w:kern w:val="2"/>
          <w:sz w:val="32"/>
          <w:szCs w:val="32"/>
          <w:lang w:val="en-US" w:bidi="ar-SA"/>
        </w:rPr>
        <w:lastRenderedPageBreak/>
        <w:t>2.2主要职责</w:t>
      </w:r>
      <w:bookmarkEnd w:id="8"/>
    </w:p>
    <w:p w14:paraId="36E0A9FB"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2.2.1</w:t>
      </w:r>
      <w:r>
        <w:rPr>
          <w:rFonts w:ascii="Times New Roman" w:eastAsia="方正楷体_GBK" w:hAnsi="Times New Roman" w:cs="Times New Roman" w:hint="eastAsia"/>
          <w:kern w:val="2"/>
          <w:sz w:val="32"/>
          <w:szCs w:val="32"/>
          <w:lang w:val="en-US" w:bidi="ar-SA"/>
        </w:rPr>
        <w:t>落实安全责任。</w:t>
      </w:r>
      <w:r>
        <w:rPr>
          <w:rFonts w:ascii="Times New Roman" w:eastAsia="方正仿宋_GBK" w:hAnsi="Times New Roman" w:cs="Times New Roman" w:hint="eastAsia"/>
          <w:kern w:val="2"/>
          <w:sz w:val="32"/>
          <w:szCs w:val="32"/>
          <w:lang w:val="en-US" w:bidi="ar-SA"/>
        </w:rPr>
        <w:t>贯彻落实重庆市教委和学校所在地政府部门的决策部署；领导全校各类突发公共事件的应急响应行动；下达应急处置工作任务；协调各单位开展应急处置工作；重大问题及时向市教委和学校所在地政府部门报告。</w:t>
      </w:r>
    </w:p>
    <w:p w14:paraId="63E5E383"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2.2.2</w:t>
      </w:r>
      <w:r>
        <w:rPr>
          <w:rFonts w:ascii="Times New Roman" w:eastAsia="方正楷体_GBK" w:hAnsi="Times New Roman" w:cs="Times New Roman" w:hint="eastAsia"/>
          <w:kern w:val="2"/>
          <w:sz w:val="32"/>
          <w:szCs w:val="32"/>
          <w:lang w:val="en-US" w:bidi="ar-SA"/>
        </w:rPr>
        <w:t>健全工作机制。</w:t>
      </w:r>
      <w:r>
        <w:rPr>
          <w:rFonts w:ascii="Times New Roman" w:eastAsia="方正仿宋_GBK" w:hAnsi="Times New Roman" w:cs="Times New Roman" w:hint="eastAsia"/>
          <w:kern w:val="2"/>
          <w:sz w:val="32"/>
          <w:szCs w:val="32"/>
          <w:lang w:val="en-US" w:bidi="ar-SA"/>
        </w:rPr>
        <w:t>组织制定学校突发公共事件应急预案；建立健全学校突发公共事件应急预案工作责任制度；建立健全学校信息预防预警机制。</w:t>
      </w:r>
    </w:p>
    <w:p w14:paraId="055616EC"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2.2.3</w:t>
      </w:r>
      <w:r>
        <w:rPr>
          <w:rFonts w:ascii="Times New Roman" w:eastAsia="方正楷体_GBK" w:hAnsi="Times New Roman" w:cs="Times New Roman" w:hint="eastAsia"/>
          <w:kern w:val="2"/>
          <w:sz w:val="32"/>
          <w:szCs w:val="32"/>
          <w:lang w:val="en-US" w:bidi="ar-SA"/>
        </w:rPr>
        <w:t>统筹应急工作。</w:t>
      </w:r>
      <w:r>
        <w:rPr>
          <w:rFonts w:ascii="Times New Roman" w:eastAsia="方正仿宋_GBK" w:hAnsi="Times New Roman" w:cs="Times New Roman" w:hint="eastAsia"/>
          <w:kern w:val="2"/>
          <w:sz w:val="32"/>
          <w:szCs w:val="32"/>
          <w:lang w:val="en-US" w:bidi="ar-SA"/>
        </w:rPr>
        <w:t>指导各单位执行应急预案；根据事件类型和等级组织应急处置工作；开展经常性应急宣传、培训和演练，提高师生防范意识和逃生能力。</w:t>
      </w:r>
    </w:p>
    <w:p w14:paraId="52BA18A6"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2.2.4</w:t>
      </w:r>
      <w:r>
        <w:rPr>
          <w:rFonts w:ascii="Times New Roman" w:eastAsia="方正楷体_GBK" w:hAnsi="Times New Roman" w:cs="Times New Roman" w:hint="eastAsia"/>
          <w:kern w:val="2"/>
          <w:sz w:val="32"/>
          <w:szCs w:val="32"/>
          <w:lang w:val="en-US" w:bidi="ar-SA"/>
        </w:rPr>
        <w:t>提供工作保障。</w:t>
      </w:r>
      <w:r>
        <w:rPr>
          <w:rFonts w:ascii="Times New Roman" w:eastAsia="方正仿宋_GBK" w:hAnsi="Times New Roman" w:cs="Times New Roman" w:hint="eastAsia"/>
          <w:kern w:val="2"/>
          <w:sz w:val="32"/>
          <w:szCs w:val="32"/>
          <w:lang w:val="en-US" w:bidi="ar-SA"/>
        </w:rPr>
        <w:t>为学校突发公共事件应急处置提供人员、物资、经费等保障；根据工作需要授权相关单位进行相关工作。</w:t>
      </w:r>
    </w:p>
    <w:p w14:paraId="48508BFE" w14:textId="77777777" w:rsidR="00814CAC" w:rsidRDefault="00814CAC">
      <w:pPr>
        <w:autoSpaceDE/>
        <w:autoSpaceDN/>
        <w:spacing w:line="560" w:lineRule="exact"/>
        <w:ind w:firstLineChars="200" w:firstLine="640"/>
        <w:jc w:val="both"/>
        <w:rPr>
          <w:rFonts w:ascii="黑体" w:eastAsia="黑体" w:hAnsi="黑体" w:cs="Times New Roman" w:hint="eastAsia"/>
          <w:kern w:val="2"/>
          <w:sz w:val="32"/>
          <w:szCs w:val="32"/>
          <w:lang w:val="en-US" w:bidi="ar-SA"/>
        </w:rPr>
      </w:pPr>
    </w:p>
    <w:p w14:paraId="55177A7F" w14:textId="77777777" w:rsidR="00814CAC" w:rsidRDefault="00000000">
      <w:pPr>
        <w:jc w:val="center"/>
        <w:rPr>
          <w:rFonts w:ascii="黑体" w:eastAsia="黑体" w:hAnsi="黑体" w:cs="Times New Roman" w:hint="eastAsia"/>
          <w:kern w:val="2"/>
          <w:sz w:val="32"/>
          <w:szCs w:val="32"/>
          <w:lang w:val="en-US" w:bidi="ar-SA"/>
        </w:rPr>
      </w:pPr>
      <w:bookmarkStart w:id="9" w:name="_Toc106693282"/>
      <w:r>
        <w:rPr>
          <w:rFonts w:ascii="黑体" w:eastAsia="黑体" w:hAnsi="黑体" w:cs="Times New Roman" w:hint="eastAsia"/>
          <w:kern w:val="2"/>
          <w:sz w:val="32"/>
          <w:szCs w:val="32"/>
          <w:lang w:val="en-US" w:bidi="ar-SA"/>
        </w:rPr>
        <w:t>3 预防、预警</w:t>
      </w:r>
      <w:bookmarkEnd w:id="9"/>
    </w:p>
    <w:p w14:paraId="00C33135"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10" w:name="_Toc106693283"/>
      <w:r>
        <w:rPr>
          <w:rFonts w:ascii="黑体" w:eastAsia="黑体" w:hAnsi="黑体" w:cs="Times New Roman" w:hint="eastAsia"/>
          <w:kern w:val="2"/>
          <w:sz w:val="32"/>
          <w:szCs w:val="32"/>
          <w:lang w:val="en-US" w:bidi="ar-SA"/>
        </w:rPr>
        <w:t>3.1预防</w:t>
      </w:r>
      <w:bookmarkEnd w:id="10"/>
    </w:p>
    <w:p w14:paraId="5B437447"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学校建立健全安全管理责任制和安全管理制度，保障安全管理人员、设备、经费等投入，指导督促各单位落实安全责任、组织安全教育和培训、参加应急演练。各单位定期排查各类风险，及时制定防控措施并进行整改，定期检查安全措施的落实情况；关注风险预警和提示，对可能发生的突发公共事件采取安全防范措施并及时向学校报告。所有师生员工遵守学校的安全管理规定，接受安全教育和培训，增强突</w:t>
      </w:r>
      <w:r>
        <w:rPr>
          <w:rFonts w:ascii="Times New Roman" w:eastAsia="方正仿宋_GBK" w:hAnsi="Times New Roman" w:cs="Times New Roman" w:hint="eastAsia"/>
          <w:kern w:val="2"/>
          <w:sz w:val="32"/>
          <w:szCs w:val="32"/>
          <w:lang w:val="en-US" w:bidi="ar-SA"/>
        </w:rPr>
        <w:lastRenderedPageBreak/>
        <w:t>发公共事件防范能力。</w:t>
      </w:r>
    </w:p>
    <w:p w14:paraId="45D0A036"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11" w:name="_Toc106693284"/>
      <w:r>
        <w:rPr>
          <w:rFonts w:ascii="黑体" w:eastAsia="黑体" w:hAnsi="黑体" w:cs="Times New Roman" w:hint="eastAsia"/>
          <w:kern w:val="2"/>
          <w:sz w:val="32"/>
          <w:szCs w:val="32"/>
          <w:lang w:val="en-US" w:bidi="ar-SA"/>
        </w:rPr>
        <w:t>3.2预警</w:t>
      </w:r>
      <w:bookmarkEnd w:id="11"/>
    </w:p>
    <w:p w14:paraId="6F9F0371"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3.2.1</w:t>
      </w:r>
      <w:r>
        <w:rPr>
          <w:rFonts w:ascii="Times New Roman" w:eastAsia="方正楷体_GBK" w:hAnsi="Times New Roman" w:cs="Times New Roman" w:hint="eastAsia"/>
          <w:kern w:val="2"/>
          <w:sz w:val="32"/>
          <w:szCs w:val="32"/>
          <w:lang w:val="en-US" w:bidi="ar-SA"/>
        </w:rPr>
        <w:t>预警分级。</w:t>
      </w:r>
      <w:r>
        <w:rPr>
          <w:rFonts w:ascii="Times New Roman" w:eastAsia="方正仿宋_GBK" w:hAnsi="Times New Roman" w:cs="Times New Roman" w:hint="eastAsia"/>
          <w:kern w:val="2"/>
          <w:sz w:val="32"/>
          <w:szCs w:val="32"/>
          <w:lang w:val="en-US" w:bidi="ar-SA"/>
        </w:rPr>
        <w:t>按照突发公共事件发生的紧急程度、发展态势和可能造成的危害程度分为四级：由高到低依次用红色、橙色、黄色和蓝色标识表示，红色为最高级别，分别对应发生或可能发生特别重大（一级）、重大（二级）、较大（三级）和一般（四级）突发公共事件。</w:t>
      </w:r>
    </w:p>
    <w:p w14:paraId="4253FF5C"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3.2.2</w:t>
      </w:r>
      <w:r>
        <w:rPr>
          <w:rFonts w:ascii="Times New Roman" w:eastAsia="方正楷体_GBK" w:hAnsi="Times New Roman" w:cs="Times New Roman" w:hint="eastAsia"/>
          <w:kern w:val="2"/>
          <w:sz w:val="32"/>
          <w:szCs w:val="32"/>
          <w:lang w:val="en-US" w:bidi="ar-SA"/>
        </w:rPr>
        <w:t>预警信息发布。</w:t>
      </w:r>
      <w:r>
        <w:rPr>
          <w:rFonts w:ascii="Times New Roman" w:eastAsia="方正仿宋_GBK" w:hAnsi="Times New Roman" w:cs="Times New Roman" w:hint="eastAsia"/>
          <w:kern w:val="2"/>
          <w:sz w:val="32"/>
          <w:szCs w:val="32"/>
          <w:lang w:val="en-US" w:bidi="ar-SA"/>
        </w:rPr>
        <w:t>接到市教委、学校所在地政府部门或经政府部门授权的单位预警信息通知后，一、二级突发公共事件预警信息由办公室在领导小组组长授权范围内，向全校发布；三、四级突发公共事件预警信息由办公室或领导小组成员单位在领导小组组长或副组长授权范围内，向全校发布。</w:t>
      </w:r>
    </w:p>
    <w:p w14:paraId="2B784942"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3.2.3</w:t>
      </w:r>
      <w:r>
        <w:rPr>
          <w:rFonts w:ascii="Times New Roman" w:eastAsia="方正楷体_GBK" w:hAnsi="Times New Roman" w:cs="Times New Roman" w:hint="eastAsia"/>
          <w:kern w:val="2"/>
          <w:sz w:val="32"/>
          <w:szCs w:val="32"/>
          <w:lang w:val="en-US" w:bidi="ar-SA"/>
        </w:rPr>
        <w:t>预警行动。</w:t>
      </w:r>
      <w:r>
        <w:rPr>
          <w:rFonts w:ascii="Times New Roman" w:eastAsia="方正仿宋_GBK" w:hAnsi="Times New Roman" w:cs="Times New Roman" w:hint="eastAsia"/>
          <w:kern w:val="2"/>
          <w:sz w:val="32"/>
          <w:szCs w:val="32"/>
          <w:lang w:val="en-US" w:bidi="ar-SA"/>
        </w:rPr>
        <w:t>预警信息发布后，相关单位可视情况采取以下预警行动。</w:t>
      </w:r>
    </w:p>
    <w:p w14:paraId="409F44D7"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w:t>
      </w:r>
      <w:r>
        <w:rPr>
          <w:rFonts w:ascii="Times New Roman" w:eastAsia="方正仿宋_GBK" w:hAnsi="Times New Roman" w:cs="Times New Roman" w:hint="eastAsia"/>
          <w:kern w:val="2"/>
          <w:sz w:val="32"/>
          <w:szCs w:val="32"/>
          <w:lang w:val="en-US" w:bidi="ar-SA"/>
        </w:rPr>
        <w:t>1</w:t>
      </w:r>
      <w:r>
        <w:rPr>
          <w:rFonts w:ascii="Times New Roman" w:eastAsia="方正仿宋_GBK" w:hAnsi="Times New Roman" w:cs="Times New Roman" w:hint="eastAsia"/>
          <w:kern w:val="2"/>
          <w:sz w:val="32"/>
          <w:szCs w:val="32"/>
          <w:lang w:val="en-US" w:bidi="ar-SA"/>
        </w:rPr>
        <w:t>）及时</w:t>
      </w:r>
      <w:proofErr w:type="gramStart"/>
      <w:r>
        <w:rPr>
          <w:rFonts w:ascii="Times New Roman" w:eastAsia="方正仿宋_GBK" w:hAnsi="Times New Roman" w:cs="Times New Roman" w:hint="eastAsia"/>
          <w:kern w:val="2"/>
          <w:sz w:val="32"/>
          <w:szCs w:val="32"/>
          <w:lang w:val="en-US" w:bidi="ar-SA"/>
        </w:rPr>
        <w:t>研</w:t>
      </w:r>
      <w:proofErr w:type="gramEnd"/>
      <w:r>
        <w:rPr>
          <w:rFonts w:ascii="Times New Roman" w:eastAsia="方正仿宋_GBK" w:hAnsi="Times New Roman" w:cs="Times New Roman" w:hint="eastAsia"/>
          <w:kern w:val="2"/>
          <w:sz w:val="32"/>
          <w:szCs w:val="32"/>
          <w:lang w:val="en-US" w:bidi="ar-SA"/>
        </w:rPr>
        <w:t>判。根据提示信息，预判事件可能发展的态势及对本单位的影响，配合相关单位做好监测工作，制定相应的应对措施。</w:t>
      </w:r>
    </w:p>
    <w:p w14:paraId="3920BA1B"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w:t>
      </w:r>
      <w:r>
        <w:rPr>
          <w:rFonts w:ascii="Times New Roman" w:eastAsia="方正仿宋_GBK" w:hAnsi="Times New Roman" w:cs="Times New Roman" w:hint="eastAsia"/>
          <w:kern w:val="2"/>
          <w:sz w:val="32"/>
          <w:szCs w:val="32"/>
          <w:lang w:val="en-US" w:bidi="ar-SA"/>
        </w:rPr>
        <w:t>2</w:t>
      </w:r>
      <w:r>
        <w:rPr>
          <w:rFonts w:ascii="Times New Roman" w:eastAsia="方正仿宋_GBK" w:hAnsi="Times New Roman" w:cs="Times New Roman" w:hint="eastAsia"/>
          <w:kern w:val="2"/>
          <w:sz w:val="32"/>
          <w:szCs w:val="32"/>
          <w:lang w:val="en-US" w:bidi="ar-SA"/>
        </w:rPr>
        <w:t>）提醒告诫。向本单位人员发布风险提示，提出禁止或停止行为要求，告知积极准备的方法。</w:t>
      </w:r>
    </w:p>
    <w:p w14:paraId="37907B05"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w:t>
      </w:r>
      <w:r>
        <w:rPr>
          <w:rFonts w:ascii="Times New Roman" w:eastAsia="方正仿宋_GBK" w:hAnsi="Times New Roman" w:cs="Times New Roman" w:hint="eastAsia"/>
          <w:kern w:val="2"/>
          <w:sz w:val="32"/>
          <w:szCs w:val="32"/>
          <w:lang w:val="en-US" w:bidi="ar-SA"/>
        </w:rPr>
        <w:t>3</w:t>
      </w:r>
      <w:r>
        <w:rPr>
          <w:rFonts w:ascii="Times New Roman" w:eastAsia="方正仿宋_GBK" w:hAnsi="Times New Roman" w:cs="Times New Roman" w:hint="eastAsia"/>
          <w:kern w:val="2"/>
          <w:sz w:val="32"/>
          <w:szCs w:val="32"/>
          <w:lang w:val="en-US" w:bidi="ar-SA"/>
        </w:rPr>
        <w:t>）应急准备。根据应对措施，准备相应的人员、物资、设备，调整工作模式。</w:t>
      </w:r>
    </w:p>
    <w:p w14:paraId="3CCC4728"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3.2.4</w:t>
      </w:r>
      <w:r>
        <w:rPr>
          <w:rFonts w:ascii="Times New Roman" w:eastAsia="方正楷体_GBK" w:hAnsi="Times New Roman" w:cs="Times New Roman" w:hint="eastAsia"/>
          <w:kern w:val="2"/>
          <w:sz w:val="32"/>
          <w:szCs w:val="32"/>
          <w:lang w:val="en-US" w:bidi="ar-SA"/>
        </w:rPr>
        <w:t>预警调整。</w:t>
      </w:r>
      <w:r>
        <w:rPr>
          <w:rFonts w:ascii="Times New Roman" w:eastAsia="方正仿宋_GBK" w:hAnsi="Times New Roman" w:cs="Times New Roman" w:hint="eastAsia"/>
          <w:kern w:val="2"/>
          <w:sz w:val="32"/>
          <w:szCs w:val="32"/>
          <w:lang w:val="en-US" w:bidi="ar-SA"/>
        </w:rPr>
        <w:t>办公室在接到政府、市教委或经授权的相关部门预警信息调整的通知后，应及时转发预警信息。预</w:t>
      </w:r>
      <w:r>
        <w:rPr>
          <w:rFonts w:ascii="Times New Roman" w:eastAsia="方正仿宋_GBK" w:hAnsi="Times New Roman" w:cs="Times New Roman" w:hint="eastAsia"/>
          <w:kern w:val="2"/>
          <w:sz w:val="32"/>
          <w:szCs w:val="32"/>
          <w:lang w:val="en-US" w:bidi="ar-SA"/>
        </w:rPr>
        <w:lastRenderedPageBreak/>
        <w:t>警级别发生变化的，应根据事态的发展情况调整采取有关措施，预警解除的，停止采取有关措施。</w:t>
      </w:r>
    </w:p>
    <w:p w14:paraId="03D2A94B"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12" w:name="_Toc106693285"/>
      <w:r>
        <w:rPr>
          <w:rFonts w:ascii="黑体" w:eastAsia="黑体" w:hAnsi="黑体" w:cs="Times New Roman" w:hint="eastAsia"/>
          <w:kern w:val="2"/>
          <w:sz w:val="32"/>
          <w:szCs w:val="32"/>
          <w:lang w:val="en-US" w:bidi="ar-SA"/>
        </w:rPr>
        <w:t>3.3信息报告</w:t>
      </w:r>
      <w:bookmarkEnd w:id="12"/>
    </w:p>
    <w:p w14:paraId="43B55AF8"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3.3.1</w:t>
      </w:r>
      <w:r>
        <w:rPr>
          <w:rFonts w:ascii="Times New Roman" w:eastAsia="方正楷体_GBK" w:hAnsi="Times New Roman" w:cs="Times New Roman" w:hint="eastAsia"/>
          <w:kern w:val="2"/>
          <w:sz w:val="32"/>
          <w:szCs w:val="32"/>
          <w:lang w:val="en-US" w:bidi="ar-SA"/>
        </w:rPr>
        <w:t>报告流程。</w:t>
      </w:r>
      <w:r>
        <w:rPr>
          <w:rFonts w:ascii="Times New Roman" w:eastAsia="方正仿宋_GBK" w:hAnsi="Times New Roman" w:cs="Times New Roman" w:hint="eastAsia"/>
          <w:kern w:val="2"/>
          <w:sz w:val="32"/>
          <w:szCs w:val="32"/>
          <w:lang w:val="en-US" w:bidi="ar-SA"/>
        </w:rPr>
        <w:t>校内信息报告流程可采用以下方式之一：一是师生向业务主管单位报告，再由业务主管单位向领导小组组长或副组长报告。二是师生向办公室或办公室成员单位报告，再由办公室或办公室成员单位向领导小组组长或副组长报告。三是师生向安全稳定值班室报告，再由安全稳定值班室向领导小组组长或副组长报告。对外信息报告流程：由办公室在领导小组组长或副组长授权范围内向上级主管部门或学校所在地政府部门报告。经领导小组组长或副组长授权，领导小组成员单位可向业务主管单位报告信息。</w:t>
      </w:r>
    </w:p>
    <w:p w14:paraId="1F6FA2D4"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3.3.2</w:t>
      </w:r>
      <w:r>
        <w:rPr>
          <w:rFonts w:ascii="Times New Roman" w:eastAsia="方正楷体_GBK" w:hAnsi="Times New Roman" w:cs="Times New Roman" w:hint="eastAsia"/>
          <w:kern w:val="2"/>
          <w:sz w:val="32"/>
          <w:szCs w:val="32"/>
          <w:lang w:val="en-US" w:bidi="ar-SA"/>
        </w:rPr>
        <w:t>报告方式。</w:t>
      </w:r>
      <w:r>
        <w:rPr>
          <w:rFonts w:ascii="Times New Roman" w:eastAsia="方正仿宋_GBK" w:hAnsi="Times New Roman" w:cs="Times New Roman" w:hint="eastAsia"/>
          <w:kern w:val="2"/>
          <w:sz w:val="32"/>
          <w:szCs w:val="32"/>
          <w:lang w:val="en-US" w:bidi="ar-SA"/>
        </w:rPr>
        <w:t>根据事件紧急程度和上级要求，可采用电话报告、电子邮件报告、书面报告、口头报告等方式。如因特殊情况未按照要求形式报告的，需按要求形式进行补报。如有新情况发生，要及时续报。事件处置完成后，应当进行终报。</w:t>
      </w:r>
    </w:p>
    <w:p w14:paraId="18C6647A" w14:textId="77777777" w:rsidR="00814CAC" w:rsidRDefault="00000000">
      <w:pPr>
        <w:autoSpaceDE/>
        <w:autoSpaceDN/>
        <w:spacing w:line="560" w:lineRule="exact"/>
        <w:ind w:firstLineChars="200" w:firstLine="640"/>
        <w:jc w:val="both"/>
        <w:rPr>
          <w:rFonts w:ascii="Times New Roman" w:eastAsia="方正楷体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3.3.3</w:t>
      </w:r>
      <w:r>
        <w:rPr>
          <w:rFonts w:ascii="Times New Roman" w:eastAsia="方正楷体_GBK" w:hAnsi="Times New Roman" w:cs="Times New Roman" w:hint="eastAsia"/>
          <w:kern w:val="2"/>
          <w:sz w:val="32"/>
          <w:szCs w:val="32"/>
          <w:lang w:val="en-US" w:bidi="ar-SA"/>
        </w:rPr>
        <w:t>报告内容。</w:t>
      </w:r>
    </w:p>
    <w:p w14:paraId="0E095E69"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w:t>
      </w:r>
      <w:r>
        <w:rPr>
          <w:rFonts w:ascii="Times New Roman" w:eastAsia="方正仿宋_GBK" w:hAnsi="Times New Roman" w:cs="Times New Roman" w:hint="eastAsia"/>
          <w:kern w:val="2"/>
          <w:sz w:val="32"/>
          <w:szCs w:val="32"/>
          <w:lang w:val="en-US" w:bidi="ar-SA"/>
        </w:rPr>
        <w:t>1</w:t>
      </w:r>
      <w:r>
        <w:rPr>
          <w:rFonts w:ascii="Times New Roman" w:eastAsia="方正仿宋_GBK" w:hAnsi="Times New Roman" w:cs="Times New Roman" w:hint="eastAsia"/>
          <w:kern w:val="2"/>
          <w:sz w:val="32"/>
          <w:szCs w:val="32"/>
          <w:lang w:val="en-US" w:bidi="ar-SA"/>
        </w:rPr>
        <w:t>）事件发生的时间、地点以及现场情况；</w:t>
      </w:r>
    </w:p>
    <w:p w14:paraId="18779D91"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w:t>
      </w:r>
      <w:r>
        <w:rPr>
          <w:rFonts w:ascii="Times New Roman" w:eastAsia="方正仿宋_GBK" w:hAnsi="Times New Roman" w:cs="Times New Roman" w:hint="eastAsia"/>
          <w:kern w:val="2"/>
          <w:sz w:val="32"/>
          <w:szCs w:val="32"/>
          <w:lang w:val="en-US" w:bidi="ar-SA"/>
        </w:rPr>
        <w:t>2</w:t>
      </w:r>
      <w:r>
        <w:rPr>
          <w:rFonts w:ascii="Times New Roman" w:eastAsia="方正仿宋_GBK" w:hAnsi="Times New Roman" w:cs="Times New Roman" w:hint="eastAsia"/>
          <w:kern w:val="2"/>
          <w:sz w:val="32"/>
          <w:szCs w:val="32"/>
          <w:lang w:val="en-US" w:bidi="ar-SA"/>
        </w:rPr>
        <w:t>）事件的简要经过；</w:t>
      </w:r>
    </w:p>
    <w:p w14:paraId="3FE478BA"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w:t>
      </w:r>
      <w:r>
        <w:rPr>
          <w:rFonts w:ascii="Times New Roman" w:eastAsia="方正仿宋_GBK" w:hAnsi="Times New Roman" w:cs="Times New Roman" w:hint="eastAsia"/>
          <w:kern w:val="2"/>
          <w:sz w:val="32"/>
          <w:szCs w:val="32"/>
          <w:lang w:val="en-US" w:bidi="ar-SA"/>
        </w:rPr>
        <w:t>3</w:t>
      </w:r>
      <w:r>
        <w:rPr>
          <w:rFonts w:ascii="Times New Roman" w:eastAsia="方正仿宋_GBK" w:hAnsi="Times New Roman" w:cs="Times New Roman" w:hint="eastAsia"/>
          <w:kern w:val="2"/>
          <w:sz w:val="32"/>
          <w:szCs w:val="32"/>
          <w:lang w:val="en-US" w:bidi="ar-SA"/>
        </w:rPr>
        <w:t>）事件已经造成或可能造成的后果；</w:t>
      </w:r>
    </w:p>
    <w:p w14:paraId="3AF84220"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w:t>
      </w:r>
      <w:r>
        <w:rPr>
          <w:rFonts w:ascii="Times New Roman" w:eastAsia="方正仿宋_GBK" w:hAnsi="Times New Roman" w:cs="Times New Roman" w:hint="eastAsia"/>
          <w:kern w:val="2"/>
          <w:sz w:val="32"/>
          <w:szCs w:val="32"/>
          <w:lang w:val="en-US" w:bidi="ar-SA"/>
        </w:rPr>
        <w:t>4</w:t>
      </w:r>
      <w:r>
        <w:rPr>
          <w:rFonts w:ascii="Times New Roman" w:eastAsia="方正仿宋_GBK" w:hAnsi="Times New Roman" w:cs="Times New Roman" w:hint="eastAsia"/>
          <w:kern w:val="2"/>
          <w:sz w:val="32"/>
          <w:szCs w:val="32"/>
          <w:lang w:val="en-US" w:bidi="ar-SA"/>
        </w:rPr>
        <w:t>）已经采取的措施；</w:t>
      </w:r>
    </w:p>
    <w:p w14:paraId="610D9532"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w:t>
      </w:r>
      <w:r>
        <w:rPr>
          <w:rFonts w:ascii="Times New Roman" w:eastAsia="方正仿宋_GBK" w:hAnsi="Times New Roman" w:cs="Times New Roman" w:hint="eastAsia"/>
          <w:kern w:val="2"/>
          <w:sz w:val="32"/>
          <w:szCs w:val="32"/>
          <w:lang w:val="en-US" w:bidi="ar-SA"/>
        </w:rPr>
        <w:t>5</w:t>
      </w:r>
      <w:r>
        <w:rPr>
          <w:rFonts w:ascii="Times New Roman" w:eastAsia="方正仿宋_GBK" w:hAnsi="Times New Roman" w:cs="Times New Roman" w:hint="eastAsia"/>
          <w:kern w:val="2"/>
          <w:sz w:val="32"/>
          <w:szCs w:val="32"/>
          <w:lang w:val="en-US" w:bidi="ar-SA"/>
        </w:rPr>
        <w:t>）其他应当报告的情况。</w:t>
      </w:r>
    </w:p>
    <w:p w14:paraId="61219B9E"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楷体_GBK" w:hAnsi="Times New Roman" w:cs="Times New Roman" w:hint="eastAsia"/>
          <w:kern w:val="2"/>
          <w:sz w:val="32"/>
          <w:szCs w:val="32"/>
          <w:lang w:val="en-US" w:bidi="ar-SA"/>
        </w:rPr>
        <w:t>3.3.4</w:t>
      </w:r>
      <w:r>
        <w:rPr>
          <w:rFonts w:ascii="Times New Roman" w:eastAsia="方正楷体_GBK" w:hAnsi="Times New Roman" w:cs="Times New Roman" w:hint="eastAsia"/>
          <w:kern w:val="2"/>
          <w:sz w:val="32"/>
          <w:szCs w:val="32"/>
          <w:lang w:val="en-US" w:bidi="ar-SA"/>
        </w:rPr>
        <w:t>信息发布。</w:t>
      </w:r>
      <w:r>
        <w:rPr>
          <w:rFonts w:ascii="Times New Roman" w:eastAsia="方正仿宋_GBK" w:hAnsi="Times New Roman" w:cs="Times New Roman" w:hint="eastAsia"/>
          <w:kern w:val="2"/>
          <w:sz w:val="32"/>
          <w:szCs w:val="32"/>
          <w:lang w:val="en-US" w:bidi="ar-SA"/>
        </w:rPr>
        <w:t>在领导小组的统一领导下，由办公室或</w:t>
      </w:r>
      <w:r>
        <w:rPr>
          <w:rFonts w:ascii="Times New Roman" w:eastAsia="方正仿宋_GBK" w:hAnsi="Times New Roman" w:cs="Times New Roman" w:hint="eastAsia"/>
          <w:kern w:val="2"/>
          <w:sz w:val="32"/>
          <w:szCs w:val="32"/>
          <w:lang w:val="en-US" w:bidi="ar-SA"/>
        </w:rPr>
        <w:lastRenderedPageBreak/>
        <w:t>校内相关业务单位统一口径，在职权范围内及时准确发布事态最新情况，加强舆情监测，做好舆论引导。</w:t>
      </w:r>
    </w:p>
    <w:p w14:paraId="615BF149" w14:textId="77777777" w:rsidR="00814CAC" w:rsidRDefault="00814CAC">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p>
    <w:p w14:paraId="1F446526" w14:textId="77777777" w:rsidR="00814CAC" w:rsidRDefault="00000000">
      <w:pPr>
        <w:jc w:val="center"/>
        <w:rPr>
          <w:rFonts w:ascii="黑体" w:eastAsia="黑体" w:hAnsi="黑体" w:cs="Times New Roman" w:hint="eastAsia"/>
          <w:kern w:val="2"/>
          <w:sz w:val="32"/>
          <w:szCs w:val="32"/>
          <w:lang w:val="en-US" w:bidi="ar-SA"/>
        </w:rPr>
      </w:pPr>
      <w:bookmarkStart w:id="13" w:name="_Toc106693286"/>
      <w:r>
        <w:rPr>
          <w:rFonts w:ascii="黑体" w:eastAsia="黑体" w:hAnsi="黑体" w:cs="Times New Roman" w:hint="eastAsia"/>
          <w:kern w:val="2"/>
          <w:sz w:val="32"/>
          <w:szCs w:val="32"/>
          <w:lang w:val="en-US" w:bidi="ar-SA"/>
        </w:rPr>
        <w:t>4 应急响应</w:t>
      </w:r>
      <w:bookmarkEnd w:id="13"/>
    </w:p>
    <w:p w14:paraId="1DE91E4D"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14" w:name="_Toc106693287"/>
      <w:r>
        <w:rPr>
          <w:rFonts w:ascii="黑体" w:eastAsia="黑体" w:hAnsi="黑体" w:cs="Times New Roman" w:hint="eastAsia"/>
          <w:kern w:val="2"/>
          <w:sz w:val="32"/>
          <w:szCs w:val="32"/>
          <w:lang w:val="en-US" w:bidi="ar-SA"/>
        </w:rPr>
        <w:t>4.1响应分级</w:t>
      </w:r>
      <w:bookmarkEnd w:id="14"/>
    </w:p>
    <w:p w14:paraId="133C2BFE"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按照突发公共事件发生的紧急程度、发展态势和可能造成的危害程度分为四级：特别重大（一级）、重大（二级）、较大（三级）、一般（四级）。</w:t>
      </w:r>
    </w:p>
    <w:p w14:paraId="067075B6"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特别重大（一级）、重大（二级）突发公共事件发生后，领导小组应立即响应，启动应急预案，指导成员单位开展处置工作，并将处置情况及时向市教委报告，通报相关业务主管单位。</w:t>
      </w:r>
    </w:p>
    <w:p w14:paraId="236070B4"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较大（三级）、一般（四级）突发公共事件发生后，领导小组办公室应立即响应，启动应急预案，协调成员单位开展处置工作，并将处置情况及时向领导小组和市教委报告，通报相关业务主管单位。</w:t>
      </w:r>
    </w:p>
    <w:p w14:paraId="45D07BF6"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若遇节假日、重大活动等特殊时期、敏感事件、两件及以上突发公共事件并发时可提级响应。</w:t>
      </w:r>
    </w:p>
    <w:p w14:paraId="6A306CA6"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15" w:name="_Toc106693288"/>
      <w:r>
        <w:rPr>
          <w:rFonts w:ascii="黑体" w:eastAsia="黑体" w:hAnsi="黑体" w:cs="Times New Roman" w:hint="eastAsia"/>
          <w:kern w:val="2"/>
          <w:sz w:val="32"/>
          <w:szCs w:val="32"/>
          <w:lang w:val="en-US" w:bidi="ar-SA"/>
        </w:rPr>
        <w:t>4.2响应措施</w:t>
      </w:r>
      <w:bookmarkEnd w:id="15"/>
    </w:p>
    <w:p w14:paraId="5EC505CD"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事件发生后，响应措施包括但不仅限于以下内容。</w:t>
      </w:r>
    </w:p>
    <w:p w14:paraId="477C8016"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4.2.1</w:t>
      </w:r>
      <w:r>
        <w:rPr>
          <w:rFonts w:ascii="Times New Roman" w:eastAsia="方正仿宋_GBK" w:hAnsi="Times New Roman" w:cs="Times New Roman" w:hint="eastAsia"/>
          <w:kern w:val="2"/>
          <w:sz w:val="32"/>
          <w:szCs w:val="32"/>
          <w:lang w:val="en-US" w:bidi="ar-SA"/>
        </w:rPr>
        <w:t>立即向领导小组、市教委和相关业务主管部门报告事件信息。</w:t>
      </w:r>
    </w:p>
    <w:p w14:paraId="0E4A9414"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4.2.2</w:t>
      </w:r>
      <w:r>
        <w:rPr>
          <w:rFonts w:ascii="Times New Roman" w:eastAsia="方正仿宋_GBK" w:hAnsi="Times New Roman" w:cs="Times New Roman" w:hint="eastAsia"/>
          <w:kern w:val="2"/>
          <w:sz w:val="32"/>
          <w:szCs w:val="32"/>
          <w:lang w:val="en-US" w:bidi="ar-SA"/>
        </w:rPr>
        <w:t>采取停课、延迟放学或者统一组织和指挥师生员工迅速疏散到避难场所，做好安置工作及师生员工心理疏导。</w:t>
      </w:r>
    </w:p>
    <w:p w14:paraId="5E1F6CB3"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lastRenderedPageBreak/>
        <w:t>4.2.3</w:t>
      </w:r>
      <w:r>
        <w:rPr>
          <w:rFonts w:ascii="Times New Roman" w:eastAsia="方正仿宋_GBK" w:hAnsi="Times New Roman" w:cs="Times New Roman" w:hint="eastAsia"/>
          <w:kern w:val="2"/>
          <w:sz w:val="32"/>
          <w:szCs w:val="32"/>
          <w:lang w:val="en-US" w:bidi="ar-SA"/>
        </w:rPr>
        <w:t>积极开展自救、互救，以营救遇险人员为重点，将受伤人员就近送医，及时、有效地进行处置，控制事态。</w:t>
      </w:r>
    </w:p>
    <w:p w14:paraId="7699FA06"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4.2.4</w:t>
      </w:r>
      <w:r>
        <w:rPr>
          <w:rFonts w:ascii="Times New Roman" w:eastAsia="方正仿宋_GBK" w:hAnsi="Times New Roman" w:cs="Times New Roman" w:hint="eastAsia"/>
          <w:kern w:val="2"/>
          <w:sz w:val="32"/>
          <w:szCs w:val="32"/>
          <w:lang w:val="en-US" w:bidi="ar-SA"/>
        </w:rPr>
        <w:t>隔离保护现场并采取警戒措施，限制无关人员车辆进入事件区域，引导救援人员车辆进入现场。</w:t>
      </w:r>
    </w:p>
    <w:p w14:paraId="0C19A0B5"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4.2.5</w:t>
      </w:r>
      <w:r>
        <w:rPr>
          <w:rFonts w:ascii="Times New Roman" w:eastAsia="方正仿宋_GBK" w:hAnsi="Times New Roman" w:cs="Times New Roman" w:hint="eastAsia"/>
          <w:kern w:val="2"/>
          <w:sz w:val="32"/>
          <w:szCs w:val="32"/>
          <w:lang w:val="en-US" w:bidi="ar-SA"/>
        </w:rPr>
        <w:t>采取必要措施，防止发生次生、衍生事件，避免造成更大的人员伤亡、财产损失和环境污染。</w:t>
      </w:r>
    </w:p>
    <w:p w14:paraId="4E370237"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4.2.6</w:t>
      </w:r>
      <w:r>
        <w:rPr>
          <w:rFonts w:ascii="Times New Roman" w:eastAsia="方正仿宋_GBK" w:hAnsi="Times New Roman" w:cs="Times New Roman" w:hint="eastAsia"/>
          <w:kern w:val="2"/>
          <w:sz w:val="32"/>
          <w:szCs w:val="32"/>
          <w:lang w:val="en-US" w:bidi="ar-SA"/>
        </w:rPr>
        <w:t>当政府或相关应急指挥部到达现场并负责现场应急指挥工作时，要积极配合，做好道路引领、师生安置、师生员工心理疏导、后勤保障、秩序维护等协助处置工作。</w:t>
      </w:r>
    </w:p>
    <w:p w14:paraId="2F5CD63E"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4.2.7</w:t>
      </w:r>
      <w:r>
        <w:rPr>
          <w:rFonts w:ascii="Times New Roman" w:eastAsia="方正仿宋_GBK" w:hAnsi="Times New Roman" w:cs="Times New Roman" w:hint="eastAsia"/>
          <w:kern w:val="2"/>
          <w:sz w:val="32"/>
          <w:szCs w:val="32"/>
          <w:lang w:val="en-US" w:bidi="ar-SA"/>
        </w:rPr>
        <w:t>领导小组、上级主管部门或属地政府安排的其他响应措施。</w:t>
      </w:r>
    </w:p>
    <w:p w14:paraId="1793CF55" w14:textId="77777777" w:rsidR="00814CAC" w:rsidRDefault="00814CAC">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p>
    <w:p w14:paraId="1C85BC4F" w14:textId="77777777" w:rsidR="00814CAC" w:rsidRDefault="00000000">
      <w:pPr>
        <w:jc w:val="center"/>
        <w:rPr>
          <w:rFonts w:ascii="黑体" w:eastAsia="黑体" w:hAnsi="黑体" w:cs="Times New Roman" w:hint="eastAsia"/>
          <w:kern w:val="2"/>
          <w:sz w:val="32"/>
          <w:szCs w:val="32"/>
          <w:lang w:val="en-US" w:bidi="ar-SA"/>
        </w:rPr>
      </w:pPr>
      <w:bookmarkStart w:id="16" w:name="_Toc106693289"/>
      <w:r>
        <w:rPr>
          <w:rFonts w:ascii="黑体" w:eastAsia="黑体" w:hAnsi="黑体" w:cs="Times New Roman" w:hint="eastAsia"/>
          <w:kern w:val="2"/>
          <w:sz w:val="32"/>
          <w:szCs w:val="32"/>
          <w:lang w:val="en-US" w:bidi="ar-SA"/>
        </w:rPr>
        <w:t>5 后期处置</w:t>
      </w:r>
      <w:bookmarkEnd w:id="16"/>
    </w:p>
    <w:p w14:paraId="5195E0AA"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后期处置包括善后处理、教学生活秩序恢复、总结评估等内容。</w:t>
      </w:r>
    </w:p>
    <w:p w14:paraId="7DD8BBE9"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重大、特别重大突发公共事件的后期处置在市教委的领导下，由学校配合属地政府部门或行业主管部门开展后期处置工作。</w:t>
      </w:r>
    </w:p>
    <w:p w14:paraId="7EADD7E5"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较大突发公共事件的后期处置根据市教委要求，在市教委的指导下，由学校配合属地政府部门或行业主管部门开展后期处置工作，或由学校在授权范围内独立开展后期处置工作。</w:t>
      </w:r>
    </w:p>
    <w:p w14:paraId="6E406EF0" w14:textId="77777777" w:rsidR="00814CAC" w:rsidRDefault="00000000">
      <w:pPr>
        <w:autoSpaceDE/>
        <w:autoSpaceDN/>
        <w:spacing w:line="560" w:lineRule="exact"/>
        <w:ind w:firstLineChars="200" w:firstLine="640"/>
        <w:jc w:val="both"/>
        <w:rPr>
          <w:rFonts w:ascii="黑体" w:eastAsia="黑体" w:hAnsi="黑体" w:cs="Times New Roman" w:hint="eastAsia"/>
          <w:kern w:val="2"/>
          <w:sz w:val="32"/>
          <w:szCs w:val="32"/>
          <w:lang w:val="en-US" w:bidi="ar-SA"/>
        </w:rPr>
      </w:pPr>
      <w:r>
        <w:rPr>
          <w:rFonts w:ascii="Times New Roman" w:eastAsia="方正仿宋_GBK" w:hAnsi="Times New Roman" w:cs="Times New Roman" w:hint="eastAsia"/>
          <w:kern w:val="2"/>
          <w:sz w:val="32"/>
          <w:szCs w:val="32"/>
          <w:lang w:val="en-US" w:bidi="ar-SA"/>
        </w:rPr>
        <w:t>一般突发公共事件的后期处置由学校开展后期处置工作，市教委或属地政府部门或行业主管部门有要求的除外。</w:t>
      </w:r>
    </w:p>
    <w:p w14:paraId="38ECEC0B" w14:textId="77777777" w:rsidR="00814CAC" w:rsidRDefault="00000000">
      <w:pPr>
        <w:jc w:val="center"/>
        <w:rPr>
          <w:rFonts w:ascii="黑体" w:eastAsia="黑体" w:hAnsi="黑体" w:cs="Times New Roman" w:hint="eastAsia"/>
          <w:kern w:val="2"/>
          <w:sz w:val="32"/>
          <w:szCs w:val="32"/>
          <w:lang w:val="en-US" w:bidi="ar-SA"/>
        </w:rPr>
      </w:pPr>
      <w:bookmarkStart w:id="17" w:name="_Toc106693290"/>
      <w:r>
        <w:rPr>
          <w:rFonts w:ascii="黑体" w:eastAsia="黑体" w:hAnsi="黑体" w:cs="Times New Roman" w:hint="eastAsia"/>
          <w:kern w:val="2"/>
          <w:sz w:val="32"/>
          <w:szCs w:val="32"/>
          <w:lang w:val="en-US" w:bidi="ar-SA"/>
        </w:rPr>
        <w:lastRenderedPageBreak/>
        <w:t>6 保障措施</w:t>
      </w:r>
      <w:bookmarkEnd w:id="17"/>
    </w:p>
    <w:p w14:paraId="74282966"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18" w:name="_Toc106693291"/>
      <w:r>
        <w:rPr>
          <w:rFonts w:ascii="黑体" w:eastAsia="黑体" w:hAnsi="黑体" w:cs="Times New Roman" w:hint="eastAsia"/>
          <w:kern w:val="2"/>
          <w:sz w:val="32"/>
          <w:szCs w:val="32"/>
          <w:lang w:val="en-US" w:bidi="ar-SA"/>
        </w:rPr>
        <w:t>6.1信息保障</w:t>
      </w:r>
      <w:bookmarkEnd w:id="18"/>
    </w:p>
    <w:p w14:paraId="43C9323A"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学校建立健全并落实突发公共事件信息收集、传递、报送、处理等各环节运行机制。完善信息传输渠道，保持信息传输设施和通讯设备完好，保持通讯方便快捷，确保信息报送、信息发布渠道安全畅通。</w:t>
      </w:r>
    </w:p>
    <w:p w14:paraId="1898C4CC"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19" w:name="_Toc106693292"/>
      <w:r>
        <w:rPr>
          <w:rFonts w:ascii="黑体" w:eastAsia="黑体" w:hAnsi="黑体" w:cs="Times New Roman" w:hint="eastAsia"/>
          <w:kern w:val="2"/>
          <w:sz w:val="32"/>
          <w:szCs w:val="32"/>
          <w:lang w:val="en-US" w:bidi="ar-SA"/>
        </w:rPr>
        <w:t>6.2人员保障</w:t>
      </w:r>
      <w:bookmarkEnd w:id="19"/>
    </w:p>
    <w:p w14:paraId="37C284E6"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根据工作实际，学校建立专兼结合、数量充足、保障有力的安全管理和应急队伍。与行业主管部门和业务主管部门保持协调沟通，通过培训等方式提升安全管理和应急队伍的能力与水平。</w:t>
      </w:r>
    </w:p>
    <w:p w14:paraId="3C714DA3"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20" w:name="_Toc106693293"/>
      <w:r>
        <w:rPr>
          <w:rFonts w:ascii="黑体" w:eastAsia="黑体" w:hAnsi="黑体" w:cs="Times New Roman" w:hint="eastAsia"/>
          <w:kern w:val="2"/>
          <w:sz w:val="32"/>
          <w:szCs w:val="32"/>
          <w:lang w:val="en-US" w:bidi="ar-SA"/>
        </w:rPr>
        <w:t>6.3物资保障</w:t>
      </w:r>
      <w:bookmarkEnd w:id="20"/>
    </w:p>
    <w:p w14:paraId="61BC3723"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学校根据应急处置可能的需要，指导相关单位配备相应的应急物资。各单位根据应急预案，向学校提出应急物资的合理需求和储备建议。</w:t>
      </w:r>
    </w:p>
    <w:p w14:paraId="0C9C1A27"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21" w:name="_Toc106693294"/>
      <w:r>
        <w:rPr>
          <w:rFonts w:ascii="黑体" w:eastAsia="黑体" w:hAnsi="黑体" w:cs="Times New Roman" w:hint="eastAsia"/>
          <w:kern w:val="2"/>
          <w:sz w:val="32"/>
          <w:szCs w:val="32"/>
          <w:lang w:val="en-US" w:bidi="ar-SA"/>
        </w:rPr>
        <w:t>6.4经费保障</w:t>
      </w:r>
      <w:bookmarkEnd w:id="21"/>
    </w:p>
    <w:p w14:paraId="5BA3F4E0"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根据学校突发公共事件应急需要，将应急保障经费纳入预算保障。应急相关培训、演练、物资采购费用纳入预算。应急资金的使用应接受监察、审计等部门的监督检查。</w:t>
      </w:r>
    </w:p>
    <w:p w14:paraId="3BF623BF" w14:textId="77777777" w:rsidR="00814CAC" w:rsidRDefault="00814CAC">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p>
    <w:p w14:paraId="6CC61F37" w14:textId="77777777" w:rsidR="00814CAC" w:rsidRDefault="00000000">
      <w:pPr>
        <w:jc w:val="center"/>
        <w:rPr>
          <w:rFonts w:ascii="黑体" w:eastAsia="黑体" w:hAnsi="黑体" w:cs="Times New Roman" w:hint="eastAsia"/>
          <w:kern w:val="2"/>
          <w:sz w:val="32"/>
          <w:szCs w:val="32"/>
          <w:lang w:val="en-US" w:bidi="ar-SA"/>
        </w:rPr>
      </w:pPr>
      <w:bookmarkStart w:id="22" w:name="_Toc106693295"/>
      <w:r>
        <w:rPr>
          <w:rFonts w:ascii="黑体" w:eastAsia="黑体" w:hAnsi="黑体" w:cs="Times New Roman" w:hint="eastAsia"/>
          <w:kern w:val="2"/>
          <w:sz w:val="32"/>
          <w:szCs w:val="32"/>
          <w:lang w:val="en-US" w:bidi="ar-SA"/>
        </w:rPr>
        <w:t>7 宣传、培训、演练</w:t>
      </w:r>
      <w:bookmarkEnd w:id="22"/>
    </w:p>
    <w:p w14:paraId="07A8701A"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23" w:name="_Toc106693296"/>
      <w:r>
        <w:rPr>
          <w:rFonts w:ascii="黑体" w:eastAsia="黑体" w:hAnsi="黑体" w:cs="Times New Roman" w:hint="eastAsia"/>
          <w:kern w:val="2"/>
          <w:sz w:val="32"/>
          <w:szCs w:val="32"/>
          <w:lang w:val="en-US" w:bidi="ar-SA"/>
        </w:rPr>
        <w:t>7.1宣传</w:t>
      </w:r>
      <w:bookmarkEnd w:id="23"/>
    </w:p>
    <w:p w14:paraId="63E1574E"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学校在应当知悉的范围内，广泛宣传突发公共事件应急预案。安稳办及校属各单位要通过各种形式，向师生宣传应</w:t>
      </w:r>
      <w:r>
        <w:rPr>
          <w:rFonts w:ascii="Times New Roman" w:eastAsia="方正仿宋_GBK" w:hAnsi="Times New Roman" w:cs="Times New Roman" w:hint="eastAsia"/>
          <w:kern w:val="2"/>
          <w:sz w:val="32"/>
          <w:szCs w:val="32"/>
          <w:lang w:val="en-US" w:bidi="ar-SA"/>
        </w:rPr>
        <w:lastRenderedPageBreak/>
        <w:t>急法律法规和事件预防、应急处置与救援、避险、自救、互救知识，努力增强师生员工的防范意识，提高应急基本知识和技能。</w:t>
      </w:r>
    </w:p>
    <w:p w14:paraId="56DF3E93"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24" w:name="_Toc106693297"/>
      <w:r>
        <w:rPr>
          <w:rFonts w:ascii="黑体" w:eastAsia="黑体" w:hAnsi="黑体" w:cs="Times New Roman" w:hint="eastAsia"/>
          <w:kern w:val="2"/>
          <w:sz w:val="32"/>
          <w:szCs w:val="32"/>
          <w:lang w:val="en-US" w:bidi="ar-SA"/>
        </w:rPr>
        <w:t>7.2培训</w:t>
      </w:r>
      <w:bookmarkEnd w:id="24"/>
    </w:p>
    <w:p w14:paraId="4D70752D"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加强安全管理和应急处置工作人员的培训工作，使其掌握应急处置的主要内容、本人职责、处置流程和方法等，不断提升应急处置水平。</w:t>
      </w:r>
    </w:p>
    <w:p w14:paraId="6E4C2F23"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学校对师生员工开展应急培训，保证师生员工掌握必要的安全知识、逃生技能和应急处置措施。有安全要求的岗位或课程，未经培训或培训不合格，不得上岗或上课。</w:t>
      </w:r>
    </w:p>
    <w:p w14:paraId="7BB95237"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25" w:name="_Toc106693298"/>
      <w:r>
        <w:rPr>
          <w:rFonts w:ascii="黑体" w:eastAsia="黑体" w:hAnsi="黑体" w:cs="Times New Roman" w:hint="eastAsia"/>
          <w:kern w:val="2"/>
          <w:sz w:val="32"/>
          <w:szCs w:val="32"/>
          <w:lang w:val="en-US" w:bidi="ar-SA"/>
        </w:rPr>
        <w:t>7.3演练</w:t>
      </w:r>
      <w:bookmarkEnd w:id="25"/>
    </w:p>
    <w:p w14:paraId="0F93F59B"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根据工作需要，学校每年组织应急演练，切实提高应急处置能力。演练结束后及时开展演练评估，总结分析应急预案存在的问题，为应急预案修订提供依据。</w:t>
      </w:r>
    </w:p>
    <w:p w14:paraId="3A41E4E5" w14:textId="77777777" w:rsidR="00814CAC" w:rsidRDefault="00814CAC">
      <w:pPr>
        <w:autoSpaceDE/>
        <w:autoSpaceDN/>
        <w:spacing w:line="560" w:lineRule="exact"/>
        <w:jc w:val="center"/>
        <w:rPr>
          <w:rFonts w:ascii="黑体" w:eastAsia="黑体" w:hAnsi="黑体" w:cs="Times New Roman" w:hint="eastAsia"/>
          <w:kern w:val="2"/>
          <w:sz w:val="32"/>
          <w:szCs w:val="32"/>
          <w:lang w:val="en-US" w:bidi="ar-SA"/>
        </w:rPr>
      </w:pPr>
    </w:p>
    <w:p w14:paraId="0CF6F7C4" w14:textId="77777777" w:rsidR="00814CAC" w:rsidRDefault="00000000">
      <w:pPr>
        <w:jc w:val="center"/>
        <w:rPr>
          <w:rFonts w:ascii="黑体" w:eastAsia="黑体" w:hAnsi="黑体" w:cs="Times New Roman" w:hint="eastAsia"/>
          <w:kern w:val="2"/>
          <w:sz w:val="32"/>
          <w:szCs w:val="32"/>
          <w:lang w:val="en-US" w:bidi="ar-SA"/>
        </w:rPr>
      </w:pPr>
      <w:bookmarkStart w:id="26" w:name="_Toc106693299"/>
      <w:r>
        <w:rPr>
          <w:rFonts w:ascii="黑体" w:eastAsia="黑体" w:hAnsi="黑体" w:cs="Times New Roman" w:hint="eastAsia"/>
          <w:kern w:val="2"/>
          <w:sz w:val="32"/>
          <w:szCs w:val="32"/>
          <w:lang w:val="en-US" w:bidi="ar-SA"/>
        </w:rPr>
        <w:t>8 附则</w:t>
      </w:r>
      <w:bookmarkEnd w:id="26"/>
    </w:p>
    <w:p w14:paraId="798BD41F"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27" w:name="_Toc106693300"/>
      <w:r>
        <w:rPr>
          <w:rFonts w:ascii="黑体" w:eastAsia="黑体" w:hAnsi="黑体" w:cs="Times New Roman" w:hint="eastAsia"/>
          <w:kern w:val="2"/>
          <w:sz w:val="32"/>
          <w:szCs w:val="32"/>
          <w:lang w:val="en-US" w:bidi="ar-SA"/>
        </w:rPr>
        <w:t>8.1预案管理</w:t>
      </w:r>
      <w:bookmarkEnd w:id="27"/>
    </w:p>
    <w:p w14:paraId="045592C4"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本预案由学校安稳办负责制定和解释。因法律法规相关规定发生变化、学校应急领导机构及职责重大调整、突发公共事件实际应对或应急演练发现问题需要</w:t>
      </w:r>
      <w:proofErr w:type="gramStart"/>
      <w:r>
        <w:rPr>
          <w:rFonts w:ascii="Times New Roman" w:eastAsia="方正仿宋_GBK" w:hAnsi="Times New Roman" w:cs="Times New Roman" w:hint="eastAsia"/>
          <w:kern w:val="2"/>
          <w:sz w:val="32"/>
          <w:szCs w:val="32"/>
          <w:lang w:val="en-US" w:bidi="ar-SA"/>
        </w:rPr>
        <w:t>作出</w:t>
      </w:r>
      <w:proofErr w:type="gramEnd"/>
      <w:r>
        <w:rPr>
          <w:rFonts w:ascii="Times New Roman" w:eastAsia="方正仿宋_GBK" w:hAnsi="Times New Roman" w:cs="Times New Roman" w:hint="eastAsia"/>
          <w:kern w:val="2"/>
          <w:sz w:val="32"/>
          <w:szCs w:val="32"/>
          <w:lang w:val="en-US" w:bidi="ar-SA"/>
        </w:rPr>
        <w:t>重大调整，以及预案起草部门认为应当修订的，应当组织修订预案。</w:t>
      </w:r>
    </w:p>
    <w:p w14:paraId="61EC1316" w14:textId="77777777" w:rsidR="00814CAC" w:rsidRDefault="00000000">
      <w:pPr>
        <w:spacing w:line="560" w:lineRule="exact"/>
        <w:ind w:firstLineChars="200" w:firstLine="640"/>
        <w:jc w:val="both"/>
        <w:rPr>
          <w:rFonts w:ascii="黑体" w:eastAsia="黑体" w:hAnsi="黑体" w:cs="Times New Roman" w:hint="eastAsia"/>
          <w:kern w:val="2"/>
          <w:sz w:val="32"/>
          <w:szCs w:val="32"/>
          <w:lang w:val="en-US" w:bidi="ar-SA"/>
        </w:rPr>
      </w:pPr>
      <w:bookmarkStart w:id="28" w:name="_Toc106693301"/>
      <w:r>
        <w:rPr>
          <w:rFonts w:ascii="黑体" w:eastAsia="黑体" w:hAnsi="黑体" w:cs="Times New Roman" w:hint="eastAsia"/>
          <w:kern w:val="2"/>
          <w:sz w:val="32"/>
          <w:szCs w:val="32"/>
          <w:lang w:val="en-US" w:bidi="ar-SA"/>
        </w:rPr>
        <w:t>8.2预案实施</w:t>
      </w:r>
      <w:bookmarkEnd w:id="28"/>
    </w:p>
    <w:p w14:paraId="38A52170" w14:textId="77777777" w:rsidR="00814CAC" w:rsidRDefault="00000000">
      <w:pPr>
        <w:autoSpaceDE/>
        <w:autoSpaceDN/>
        <w:spacing w:line="56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本预案自发布之日起实施。</w:t>
      </w:r>
    </w:p>
    <w:tbl>
      <w:tblPr>
        <w:tblStyle w:val="a6"/>
        <w:tblpPr w:leftFromText="180" w:rightFromText="180" w:vertAnchor="text" w:horzAnchor="page" w:tblpX="1898" w:tblpY="193"/>
        <w:tblOverlap w:val="never"/>
        <w:tblW w:w="0" w:type="auto"/>
        <w:tblInd w:w="0" w:type="dxa"/>
        <w:tblCellMar>
          <w:left w:w="108" w:type="dxa"/>
          <w:right w:w="108" w:type="dxa"/>
        </w:tblCellMar>
        <w:tblLook w:val="04A0" w:firstRow="1" w:lastRow="0" w:firstColumn="1" w:lastColumn="0" w:noHBand="0" w:noVBand="1"/>
      </w:tblPr>
      <w:tblGrid>
        <w:gridCol w:w="8494"/>
      </w:tblGrid>
      <w:tr w:rsidR="00814CAC" w14:paraId="5B73A10B" w14:textId="77777777">
        <w:tc>
          <w:tcPr>
            <w:tcW w:w="0" w:type="auto"/>
            <w:tcBorders>
              <w:top w:val="single" w:sz="4" w:space="0" w:color="auto"/>
              <w:left w:val="nil"/>
              <w:bottom w:val="single" w:sz="4" w:space="0" w:color="auto"/>
              <w:right w:val="nil"/>
            </w:tcBorders>
            <w:vAlign w:val="center"/>
          </w:tcPr>
          <w:p w14:paraId="3200957D" w14:textId="1ECFF3B3" w:rsidR="00814CAC" w:rsidRDefault="00000000">
            <w:pPr>
              <w:adjustRightInd w:val="0"/>
              <w:snapToGrid w:val="0"/>
              <w:spacing w:line="560" w:lineRule="exact"/>
              <w:rPr>
                <w:rFonts w:ascii="方正小标宋_GBK" w:eastAsia="方正仿宋_GBK" w:hAnsi="方正小标宋_GBK" w:cs="方正小标宋_GBK" w:hint="eastAsia"/>
                <w:bCs/>
                <w:sz w:val="52"/>
                <w:lang w:val="en-US"/>
              </w:rPr>
            </w:pPr>
            <w:r>
              <w:rPr>
                <w:rFonts w:ascii="方正仿宋_GBK" w:eastAsia="方正仿宋_GBK" w:hAnsi="Calibri" w:cs="Times New Roman" w:hint="eastAsia"/>
                <w:spacing w:val="-30"/>
                <w:kern w:val="2"/>
                <w:sz w:val="28"/>
                <w:szCs w:val="28"/>
                <w:lang w:val="en-US" w:bidi="ar-SA"/>
              </w:rPr>
              <w:t>中共重庆机电职业技术大学委员会   重庆</w:t>
            </w:r>
            <w:r>
              <w:rPr>
                <w:rFonts w:ascii="方正仿宋_GBK" w:eastAsia="方正仿宋_GBK" w:hAnsi="Calibri" w:cs="Times New Roman"/>
                <w:spacing w:val="-30"/>
                <w:kern w:val="2"/>
                <w:sz w:val="28"/>
                <w:szCs w:val="28"/>
                <w:lang w:val="en-US" w:bidi="ar-SA"/>
              </w:rPr>
              <w:t>机电职业技术大学</w:t>
            </w:r>
            <w:r>
              <w:rPr>
                <w:rFonts w:ascii="方正仿宋_GBK" w:eastAsia="方正仿宋_GBK" w:hAnsi="Calibri" w:cs="Times New Roman" w:hint="eastAsia"/>
                <w:kern w:val="2"/>
                <w:sz w:val="28"/>
                <w:szCs w:val="28"/>
                <w:lang w:val="en-US" w:bidi="ar-SA"/>
              </w:rPr>
              <w:t xml:space="preserve"> </w:t>
            </w:r>
            <w:r>
              <w:rPr>
                <w:rFonts w:ascii="方正仿宋_GBK" w:eastAsia="方正仿宋_GBK" w:hAnsi="Calibri" w:cs="Times New Roman"/>
                <w:kern w:val="2"/>
                <w:sz w:val="28"/>
                <w:szCs w:val="28"/>
                <w:lang w:val="en-US" w:bidi="ar-SA"/>
              </w:rPr>
              <w:t xml:space="preserve"> </w:t>
            </w:r>
            <w:r>
              <w:rPr>
                <w:rFonts w:ascii="方正仿宋_GBK" w:eastAsia="方正仿宋_GBK" w:hAnsi="Calibri" w:cs="Times New Roman" w:hint="eastAsia"/>
                <w:spacing w:val="-30"/>
                <w:kern w:val="2"/>
                <w:sz w:val="28"/>
                <w:szCs w:val="28"/>
                <w:lang w:val="en-US" w:bidi="ar-SA"/>
              </w:rPr>
              <w:t xml:space="preserve">  2024年11月19日印发</w:t>
            </w:r>
          </w:p>
        </w:tc>
      </w:tr>
    </w:tbl>
    <w:p w14:paraId="7DF60B85" w14:textId="77777777" w:rsidR="00814CAC" w:rsidRDefault="00814CAC">
      <w:pPr>
        <w:adjustRightInd w:val="0"/>
        <w:snapToGrid w:val="0"/>
        <w:spacing w:line="560" w:lineRule="exact"/>
        <w:ind w:rightChars="-150" w:right="-330"/>
        <w:jc w:val="both"/>
        <w:rPr>
          <w:rFonts w:ascii="Times New Roman" w:eastAsia="方正小标宋_GBK" w:hAnsi="Times New Roman"/>
          <w:sz w:val="44"/>
          <w:szCs w:val="44"/>
        </w:rPr>
      </w:pPr>
    </w:p>
    <w:sectPr w:rsidR="00814CAC">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475A" w14:textId="77777777" w:rsidR="004C3E09" w:rsidRDefault="004C3E09">
      <w:pPr>
        <w:rPr>
          <w:rFonts w:hint="eastAsia"/>
        </w:rPr>
      </w:pPr>
      <w:r>
        <w:separator/>
      </w:r>
    </w:p>
  </w:endnote>
  <w:endnote w:type="continuationSeparator" w:id="0">
    <w:p w14:paraId="46EFE58E" w14:textId="77777777" w:rsidR="004C3E09" w:rsidRDefault="004C3E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1" w:subsetted="1" w:fontKey="{F957192B-AC82-4755-BF72-831241C093B8}"/>
    <w:embedBold r:id="rId2" w:subsetted="1" w:fontKey="{A4E01BA7-90F8-43B2-89F5-B232132075C7}"/>
  </w:font>
  <w:font w:name="方正仿宋_GBK">
    <w:panose1 w:val="03000509000000000000"/>
    <w:charset w:val="86"/>
    <w:family w:val="script"/>
    <w:pitch w:val="fixed"/>
    <w:sig w:usb0="00000001" w:usb1="080E0000" w:usb2="00000010" w:usb3="00000000" w:csb0="00040000" w:csb1="00000000"/>
    <w:embedRegular r:id="rId3" w:subsetted="1" w:fontKey="{4177079E-3230-482B-9142-432D861ED8EB}"/>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A0067960-3946-466B-AEC8-7722BB9A0BE4}"/>
  </w:font>
  <w:font w:name="方正楷体_GBK">
    <w:panose1 w:val="03000509000000000000"/>
    <w:charset w:val="86"/>
    <w:family w:val="script"/>
    <w:pitch w:val="fixed"/>
    <w:sig w:usb0="00000001" w:usb1="080E0000" w:usb2="00000010" w:usb3="00000000" w:csb0="00040000" w:csb1="00000000"/>
    <w:embedRegular r:id="rId5" w:subsetted="1" w:fontKey="{F47457C2-BE1A-48A1-B408-0F382DDD7FB9}"/>
  </w:font>
  <w:font w:name="方正仿宋简体">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9269" w14:textId="77777777" w:rsidR="00814CAC" w:rsidRDefault="00000000">
    <w:pPr>
      <w:tabs>
        <w:tab w:val="center" w:pos="4153"/>
        <w:tab w:val="right" w:pos="8306"/>
      </w:tabs>
      <w:snapToGrid w:val="0"/>
      <w:jc w:val="center"/>
      <w:rPr>
        <w:rFonts w:ascii="Times New Roman" w:hAnsi="Times New Roman" w:cs="Times New Roman"/>
        <w:kern w:val="2"/>
        <w:sz w:val="18"/>
        <w:szCs w:val="18"/>
        <w:lang w:val="en-US" w:bidi="ar-SA"/>
      </w:rPr>
    </w:pPr>
    <w:r>
      <w:rPr>
        <w:noProof/>
        <w:sz w:val="18"/>
      </w:rPr>
      <mc:AlternateContent>
        <mc:Choice Requires="wps">
          <w:drawing>
            <wp:anchor distT="0" distB="0" distL="114300" distR="114300" simplePos="0" relativeHeight="251657728" behindDoc="0" locked="0" layoutInCell="1" allowOverlap="1" wp14:anchorId="0A3D8E60" wp14:editId="768B9CC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AE030" w14:textId="77777777" w:rsidR="00814CAC" w:rsidRDefault="00000000">
                          <w:pPr>
                            <w:pStyle w:val="a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3D8E60"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1EAE030" w14:textId="77777777" w:rsidR="00814CAC" w:rsidRDefault="00000000">
                    <w:pPr>
                      <w:pStyle w:val="a4"/>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8A11" w14:textId="01087174" w:rsidR="00814CAC" w:rsidRDefault="00814CAC">
    <w:pPr>
      <w:pStyle w:val="a3"/>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94BF" w14:textId="77777777" w:rsidR="004C3E09" w:rsidRDefault="004C3E09">
      <w:pPr>
        <w:rPr>
          <w:rFonts w:hint="eastAsia"/>
        </w:rPr>
      </w:pPr>
      <w:r>
        <w:separator/>
      </w:r>
    </w:p>
  </w:footnote>
  <w:footnote w:type="continuationSeparator" w:id="0">
    <w:p w14:paraId="395522D6" w14:textId="77777777" w:rsidR="004C3E09" w:rsidRDefault="004C3E0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5412F"/>
    <w:multiLevelType w:val="singleLevel"/>
    <w:tmpl w:val="8CE5412F"/>
    <w:lvl w:ilvl="0">
      <w:start w:val="4"/>
      <w:numFmt w:val="chineseCounting"/>
      <w:suff w:val="nothing"/>
      <w:lvlText w:val="%1、"/>
      <w:lvlJc w:val="left"/>
      <w:rPr>
        <w:rFonts w:hint="eastAsia"/>
      </w:rPr>
    </w:lvl>
  </w:abstractNum>
  <w:abstractNum w:abstractNumId="1" w15:restartNumberingAfterBreak="0">
    <w:nsid w:val="0A980BB2"/>
    <w:multiLevelType w:val="multilevel"/>
    <w:tmpl w:val="0A980BB2"/>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4864657">
    <w:abstractNumId w:val="1"/>
  </w:num>
  <w:num w:numId="2" w16cid:durableId="158310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1E7372B"/>
    <w:rsid w:val="0001045E"/>
    <w:rsid w:val="00080558"/>
    <w:rsid w:val="001425DA"/>
    <w:rsid w:val="00180B2C"/>
    <w:rsid w:val="00266912"/>
    <w:rsid w:val="003B0F94"/>
    <w:rsid w:val="004C3E09"/>
    <w:rsid w:val="005066E1"/>
    <w:rsid w:val="005A6C22"/>
    <w:rsid w:val="007E3806"/>
    <w:rsid w:val="00814CAC"/>
    <w:rsid w:val="009A0E70"/>
    <w:rsid w:val="009C60EB"/>
    <w:rsid w:val="03644CC2"/>
    <w:rsid w:val="044F72A8"/>
    <w:rsid w:val="058C1C12"/>
    <w:rsid w:val="069A3926"/>
    <w:rsid w:val="0969451B"/>
    <w:rsid w:val="0B976DAF"/>
    <w:rsid w:val="10FA737E"/>
    <w:rsid w:val="11E85B60"/>
    <w:rsid w:val="14123C2A"/>
    <w:rsid w:val="1571538E"/>
    <w:rsid w:val="15D60C87"/>
    <w:rsid w:val="16557DFE"/>
    <w:rsid w:val="1A9161A9"/>
    <w:rsid w:val="1F5C21FD"/>
    <w:rsid w:val="20933EB7"/>
    <w:rsid w:val="20B63B8F"/>
    <w:rsid w:val="20BE2A44"/>
    <w:rsid w:val="21BC51D5"/>
    <w:rsid w:val="24A70E4E"/>
    <w:rsid w:val="24F42ED8"/>
    <w:rsid w:val="25BF6AEB"/>
    <w:rsid w:val="26977FBF"/>
    <w:rsid w:val="28551EE0"/>
    <w:rsid w:val="29DE52D0"/>
    <w:rsid w:val="2A0A4121"/>
    <w:rsid w:val="2AA32FDC"/>
    <w:rsid w:val="2F44717C"/>
    <w:rsid w:val="2F762E67"/>
    <w:rsid w:val="2F8B06AD"/>
    <w:rsid w:val="318E3C80"/>
    <w:rsid w:val="331429F5"/>
    <w:rsid w:val="357B1BA7"/>
    <w:rsid w:val="363B2715"/>
    <w:rsid w:val="382F20C8"/>
    <w:rsid w:val="38C42E95"/>
    <w:rsid w:val="3CE9692A"/>
    <w:rsid w:val="3D220812"/>
    <w:rsid w:val="3F174F60"/>
    <w:rsid w:val="41410DFB"/>
    <w:rsid w:val="43CF4CA8"/>
    <w:rsid w:val="449565DB"/>
    <w:rsid w:val="45837C34"/>
    <w:rsid w:val="4B7E647E"/>
    <w:rsid w:val="4BBA7CDA"/>
    <w:rsid w:val="4D0A29E9"/>
    <w:rsid w:val="4F0E2217"/>
    <w:rsid w:val="4F146F0B"/>
    <w:rsid w:val="51E7372B"/>
    <w:rsid w:val="533C784C"/>
    <w:rsid w:val="533D4F61"/>
    <w:rsid w:val="53FE1CC8"/>
    <w:rsid w:val="540939FA"/>
    <w:rsid w:val="552F3D56"/>
    <w:rsid w:val="558E2409"/>
    <w:rsid w:val="572823EA"/>
    <w:rsid w:val="57FC6F25"/>
    <w:rsid w:val="584C6DDC"/>
    <w:rsid w:val="58842384"/>
    <w:rsid w:val="593B6B5F"/>
    <w:rsid w:val="5A7E7CF5"/>
    <w:rsid w:val="5AC643F3"/>
    <w:rsid w:val="5D7C523D"/>
    <w:rsid w:val="5D942587"/>
    <w:rsid w:val="5DF70D68"/>
    <w:rsid w:val="60A70823"/>
    <w:rsid w:val="60C5514D"/>
    <w:rsid w:val="66E97F76"/>
    <w:rsid w:val="690F034C"/>
    <w:rsid w:val="6949691B"/>
    <w:rsid w:val="6A49294B"/>
    <w:rsid w:val="6B3B4D8B"/>
    <w:rsid w:val="6C494658"/>
    <w:rsid w:val="6DA35ABB"/>
    <w:rsid w:val="6DE04C31"/>
    <w:rsid w:val="72D9658D"/>
    <w:rsid w:val="737E2F27"/>
    <w:rsid w:val="75BF7F65"/>
    <w:rsid w:val="77FC62E7"/>
    <w:rsid w:val="7C4A3A13"/>
    <w:rsid w:val="7CF45D4E"/>
    <w:rsid w:val="7D3D633F"/>
    <w:rsid w:val="7DED350D"/>
    <w:rsid w:val="7E195494"/>
    <w:rsid w:val="7F40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14:docId w14:val="10BAB204"/>
  <w15:docId w15:val="{7C400B65-B11D-4B24-93D0-BBBF16DE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2">
    <w:name w:val="heading 2"/>
    <w:basedOn w:val="a"/>
    <w:next w:val="a"/>
    <w:uiPriority w:val="1"/>
    <w:qFormat/>
    <w:pPr>
      <w:ind w:right="315"/>
      <w:jc w:val="center"/>
      <w:outlineLvl w:val="1"/>
    </w:pPr>
    <w:rPr>
      <w:rFonts w:ascii="方正小标宋_GBK" w:eastAsia="方正小标宋_GBK" w:hAnsi="方正小标宋_GBK" w:cs="方正小标宋_GBK"/>
      <w:b/>
      <w:bCs/>
      <w:sz w:val="36"/>
      <w:szCs w:val="36"/>
    </w:rPr>
  </w:style>
  <w:style w:type="paragraph" w:styleId="3">
    <w:name w:val="heading 3"/>
    <w:basedOn w:val="a"/>
    <w:next w:val="a"/>
    <w:uiPriority w:val="1"/>
    <w:qFormat/>
    <w:pPr>
      <w:ind w:left="1740" w:right="1496"/>
      <w:jc w:val="center"/>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1"/>
    <w:qFormat/>
    <w:pPr>
      <w:spacing w:before="109"/>
      <w:ind w:left="173"/>
    </w:pPr>
    <w:rPr>
      <w:rFonts w:ascii="方正仿宋_GBK" w:eastAsia="方正仿宋_GBK" w:hAnsi="方正仿宋_GBK" w:cs="方正仿宋_GBK"/>
      <w:sz w:val="32"/>
      <w:szCs w:val="32"/>
    </w:rPr>
  </w:style>
  <w:style w:type="table" w:styleId="a6">
    <w:name w:val="Table Grid"/>
    <w:uiPriority w:val="59"/>
    <w:qFormat/>
    <w:pPr>
      <w:jc w:val="center"/>
    </w:pPr>
    <w:rPr>
      <w:rFonts w:ascii="宋体"/>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TableParagraph">
    <w:name w:val="Table Paragraph"/>
    <w:basedOn w:val="a"/>
    <w:uiPriority w:val="1"/>
    <w:qFormat/>
    <w:rPr>
      <w:rFonts w:ascii="方正仿宋_GBK" w:eastAsia="方正仿宋_GBK" w:hAnsi="方正仿宋_GBK" w:cs="方正仿宋_GBK"/>
    </w:rPr>
  </w:style>
  <w:style w:type="paragraph" w:styleId="a7">
    <w:name w:val="List Paragraph"/>
    <w:basedOn w:val="a"/>
    <w:uiPriority w:val="1"/>
    <w:qFormat/>
    <w:pPr>
      <w:ind w:left="118" w:right="513" w:firstLine="638"/>
    </w:pPr>
  </w:style>
  <w:style w:type="paragraph" w:customStyle="1" w:styleId="1">
    <w:name w:val="列出段落1"/>
    <w:basedOn w:val="a"/>
    <w:uiPriority w:val="99"/>
    <w:unhideWhenUsed/>
    <w:qFormat/>
    <w:pPr>
      <w:ind w:firstLineChars="200" w:firstLine="420"/>
    </w:pPr>
    <w:rPr>
      <w:rFonts w:ascii="仿宋_GB2312" w:eastAsia="仿宋_GB2312" w:hAnsi="仿宋_GB2312" w:cs="Times New Roman"/>
      <w:sz w:val="32"/>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2050" textRotate="1"/>
    <customShpInfo spid="_x0000_s2051"/>
    <customShpInfo spid="_x0000_s2052"/>
    <customShpInfo spid="_x0000_s2056"/>
    <customShpInfo spid="_x0000_s2057"/>
    <customShpInfo spid="_x0000_s2058"/>
    <customShpInfo spid="_x0000_s2053"/>
    <customShpInfo spid="_x0000_s2054"/>
    <customShpInfo spid="_x0000_s205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A95F07-BD64-4094-BBB6-75E690CB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mikoral jia</dc:creator>
  <cp:lastModifiedBy>1</cp:lastModifiedBy>
  <cp:revision>7</cp:revision>
  <cp:lastPrinted>2025-02-24T07:34:00Z</cp:lastPrinted>
  <dcterms:created xsi:type="dcterms:W3CDTF">2024-12-11T01:43:00Z</dcterms:created>
  <dcterms:modified xsi:type="dcterms:W3CDTF">2025-11-07T02:14:00Z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A44AD48A946746AFB0B9F9E517F8DE1F_11</vt:lpwstr>
  </property>
  <property fmtid="{D5CDD505-2E9C-101B-9397-08002B2CF9AE}" pid="4" name="KSOTemplateDocerSaveRecord">
    <vt:lpwstr>eyJoZGlkIjoiMmVhYjIwYTFkMDUyN2RmOGI2OTNiMWRjYmY5MjBlYTUiLCJ1c2VySWQiOiI4NzYwNTQ5NDYifQ==</vt:lpwstr>
  </property>
</Properties>
</file>