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5377">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lang w:val="en-US" w:eastAsia="zh-CN"/>
        </w:rPr>
        <w:t>2025年</w:t>
      </w:r>
      <w:r>
        <w:rPr>
          <w:rFonts w:hint="eastAsia" w:ascii="方正公文小标宋" w:hAnsi="方正公文小标宋" w:eastAsia="方正公文小标宋" w:cs="方正公文小标宋"/>
          <w:b w:val="0"/>
          <w:bCs/>
          <w:sz w:val="44"/>
          <w:szCs w:val="44"/>
        </w:rPr>
        <w:t>艺术教育发展年度报告</w:t>
      </w:r>
    </w:p>
    <w:p w14:paraId="417F0347">
      <w:pPr>
        <w:rPr>
          <w:rFonts w:hint="eastAsia"/>
        </w:rPr>
      </w:pPr>
    </w:p>
    <w:p w14:paraId="2C394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为深入贯彻落实习近平总书记关于教育的重要论述和全国教育大会精神，全面落实立德树人根本任务，根据《学校艺术教育工作规程》（教育部令13号）《教育部关于推进学校艺术教育发展的若干意见》（教体艺〔2014〕1号）《中共中央办公厅、国务院办公厅关于全面加强和改进新时代学校美育工作的意见》（国办发〔2015〕71号）及 2025年全国学校体育卫生艺术国防教育工作会议精神，强化美育教育，提高学生审美和人文素养，</w:t>
      </w:r>
      <w:r>
        <w:rPr>
          <w:rFonts w:hint="eastAsia" w:ascii="Times New Roman" w:hAnsi="Times New Roman" w:eastAsia="方正仿宋_GB2312" w:cs="Times New Roman"/>
          <w:b w:val="0"/>
          <w:kern w:val="2"/>
          <w:sz w:val="33"/>
          <w:szCs w:val="33"/>
          <w:lang w:val="en-US" w:eastAsia="zh-CN" w:bidi="ar-SA"/>
        </w:rPr>
        <w:t>按照</w:t>
      </w:r>
      <w:r>
        <w:rPr>
          <w:rFonts w:hint="default" w:ascii="Times New Roman" w:hAnsi="Times New Roman" w:eastAsia="方正仿宋_GB2312" w:cs="Times New Roman"/>
          <w:b w:val="0"/>
          <w:kern w:val="2"/>
          <w:sz w:val="33"/>
          <w:szCs w:val="33"/>
          <w:lang w:val="en-US" w:eastAsia="zh-CN" w:bidi="ar-SA"/>
        </w:rPr>
        <w:t>学校2025年工作要点部署安排，结合培养德智体美劳全面发展的高端技能人才的实际，以美育浸润为抓手，不断推动艺术教育工作的发展，为高质量完成美育工作奠定坚实基础。</w:t>
      </w:r>
    </w:p>
    <w:p w14:paraId="0C8DE5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公文黑体" w:hAnsi="方正公文黑体" w:eastAsia="方正公文黑体" w:cs="方正公文黑体"/>
          <w:b w:val="0"/>
          <w:kern w:val="2"/>
          <w:sz w:val="33"/>
          <w:szCs w:val="33"/>
          <w:lang w:val="en-US" w:eastAsia="zh-CN" w:bidi="ar-SA"/>
        </w:rPr>
      </w:pPr>
      <w:r>
        <w:rPr>
          <w:rFonts w:hint="eastAsia" w:ascii="方正公文黑体" w:hAnsi="方正公文黑体" w:eastAsia="方正公文黑体" w:cs="方正公文黑体"/>
          <w:b w:val="0"/>
          <w:kern w:val="2"/>
          <w:sz w:val="33"/>
          <w:szCs w:val="33"/>
          <w:lang w:val="en-US" w:eastAsia="zh-CN" w:bidi="ar-SA"/>
        </w:rPr>
        <w:t>一、基本概况</w:t>
      </w:r>
    </w:p>
    <w:p w14:paraId="3231B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学校坚持</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以美育人、以美化人、以美培元</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的理念，立足机电兵工特色与职业教育定位，构建</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课程筑基、实践赋能、品牌引领、协同共育</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的艺术教育体系。学校依托人文与艺术学院，全年累计开设艺术类课程50余门，组织各类艺术实践活动28场，建设校内外艺术教育实践基地20余个，培育学生艺术社团10余个，形成</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人人参与艺术、处处浸润美育</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的良好局面，艺术教育对学生职业素养提升、专业能力融合的支撑作用显著增强。</w:t>
      </w:r>
    </w:p>
    <w:p w14:paraId="448C0F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方正公文黑体" w:hAnsi="方正公文黑体" w:eastAsia="方正公文黑体" w:cs="方正公文黑体"/>
          <w:b w:val="0"/>
          <w:kern w:val="2"/>
          <w:sz w:val="33"/>
          <w:szCs w:val="33"/>
          <w:lang w:val="en-US" w:eastAsia="zh-CN" w:bidi="ar-SA"/>
        </w:rPr>
      </w:pPr>
      <w:r>
        <w:rPr>
          <w:rFonts w:hint="default" w:ascii="方正公文黑体" w:hAnsi="方正公文黑体" w:eastAsia="方正公文黑体" w:cs="方正公文黑体"/>
          <w:b w:val="0"/>
          <w:kern w:val="2"/>
          <w:sz w:val="33"/>
          <w:szCs w:val="33"/>
          <w:lang w:val="en-US" w:eastAsia="zh-CN" w:bidi="ar-SA"/>
        </w:rPr>
        <w:t>二、核心举措</w:t>
      </w:r>
    </w:p>
    <w:p w14:paraId="742DF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楷体_GB2312" w:hAnsi="方正楷体_GB2312" w:eastAsia="方正楷体_GB2312" w:cs="方正楷体_GB2312"/>
          <w:b w:val="0"/>
          <w:kern w:val="2"/>
          <w:sz w:val="33"/>
          <w:szCs w:val="33"/>
          <w:lang w:val="en-US" w:eastAsia="zh-CN" w:bidi="ar-SA"/>
        </w:rPr>
      </w:pPr>
      <w:r>
        <w:rPr>
          <w:rFonts w:hint="eastAsia" w:ascii="方正楷体_GB2312" w:hAnsi="方正楷体_GB2312" w:eastAsia="方正楷体_GB2312" w:cs="方正楷体_GB2312"/>
          <w:b w:val="0"/>
          <w:kern w:val="2"/>
          <w:sz w:val="33"/>
          <w:szCs w:val="33"/>
          <w:lang w:val="en-US" w:eastAsia="zh-CN" w:bidi="ar-SA"/>
        </w:rPr>
        <w:t>（一）构建科学的美育课程体系</w:t>
      </w:r>
    </w:p>
    <w:p w14:paraId="1074CF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完善公共艺术课程设置。人文与艺术学院联合教务处开设《大学美育》《艺术鉴赏》《工业设计美学》等通识课程，构建</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艺术知识—鉴赏塑造—专项特长</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多层次课程架构。</w:t>
      </w:r>
    </w:p>
    <w:p w14:paraId="0C9F70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推进学科美育融合。挖掘各专业课程中的美育元素，将机械、设计、建筑工程等专业课程中融入设计美学、工程美学，培养学生的职业审美能力。</w:t>
      </w:r>
    </w:p>
    <w:p w14:paraId="77F521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开发特色美育课程资源。学校立足璧山，开发璧山乃至重庆地域特征和文化特色的美育课程资源，结合学校专业开设特色，开发《工匠精神与美学素养》《工业产品设计美学》《数字艺术与智能制造》等特色课程，形成具有我校特色的美育课程体系。</w:t>
      </w:r>
    </w:p>
    <w:p w14:paraId="02FD40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方正楷体_GB2312" w:hAnsi="方正楷体_GB2312" w:eastAsia="方正楷体_GB2312" w:cs="方正楷体_GB2312"/>
          <w:b w:val="0"/>
          <w:kern w:val="2"/>
          <w:sz w:val="33"/>
          <w:szCs w:val="33"/>
          <w:lang w:val="en-US" w:eastAsia="zh-CN" w:bidi="ar-SA"/>
        </w:rPr>
      </w:pPr>
      <w:r>
        <w:rPr>
          <w:rFonts w:hint="default" w:ascii="方正楷体_GB2312" w:hAnsi="方正楷体_GB2312" w:eastAsia="方正楷体_GB2312" w:cs="方正楷体_GB2312"/>
          <w:b w:val="0"/>
          <w:kern w:val="2"/>
          <w:sz w:val="33"/>
          <w:szCs w:val="33"/>
          <w:lang w:val="en-US" w:eastAsia="zh-CN" w:bidi="ar-SA"/>
        </w:rPr>
        <w:t>（二）加强美育师资队伍建设</w:t>
      </w:r>
    </w:p>
    <w:p w14:paraId="136672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组建专职美育教师队伍。整合校内艺术教育资源，组建美术教研室，负责美育课程教学、活动指导等工作。邀请校外艺术家、设计师、非遗传承人、行业专家等担任兼职美育导师，定期来校开展讲座、工作坊等活动。建立</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1+1</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双师授课模式，即校内教师与校外专家共同指导美育实践活动。</w:t>
      </w:r>
    </w:p>
    <w:p w14:paraId="55A810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开展美育教师培训。定期组织美育教师参加专业培训、教学研讨、学术交流等活动，提升教师的美育素养和教学能力。每年安排美育教师到兄弟院校考察学习，借鉴先进经验。</w:t>
      </w:r>
    </w:p>
    <w:p w14:paraId="2B7A29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建立美育教研机制。定期开展美育教学研究活动，组织集体备课、教学观摩、课程建设研讨等，不断提升美育教学水平。鼓励教师开展美育相关课题研究，推动美育理论与实践创新。</w:t>
      </w:r>
    </w:p>
    <w:p w14:paraId="473BC9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完善美育教师激励机制。将美育教学、活动指导、课题研究等纳入教师工作量考核，在职称评聘、评优评先等方面给予适当倾斜，激发教师参与美育工作的积极性。</w:t>
      </w:r>
    </w:p>
    <w:p w14:paraId="6B47D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方正楷体_GB2312" w:hAnsi="方正楷体_GB2312" w:eastAsia="方正楷体_GB2312" w:cs="方正楷体_GB2312"/>
          <w:b w:val="0"/>
          <w:kern w:val="2"/>
          <w:sz w:val="33"/>
          <w:szCs w:val="33"/>
          <w:lang w:val="en-US" w:eastAsia="zh-CN" w:bidi="ar-SA"/>
        </w:rPr>
      </w:pPr>
      <w:r>
        <w:rPr>
          <w:rFonts w:hint="default" w:ascii="方正楷体_GB2312" w:hAnsi="方正楷体_GB2312" w:eastAsia="方正楷体_GB2312" w:cs="方正楷体_GB2312"/>
          <w:b w:val="0"/>
          <w:kern w:val="2"/>
          <w:sz w:val="33"/>
          <w:szCs w:val="33"/>
          <w:lang w:val="en-US" w:eastAsia="zh-CN" w:bidi="ar-SA"/>
        </w:rPr>
        <w:t>（三）拓展艺术教育实践平台</w:t>
      </w:r>
    </w:p>
    <w:p w14:paraId="60CB73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建设校内美育实践中心。整合现有资源，建设集教学、实践、展示于一体的美育实践中心，包括非遗工作室、校史展览馆、排练厅等，为美育活动提供场地保障。</w:t>
      </w:r>
    </w:p>
    <w:p w14:paraId="616119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共建校外美育实践基地。与璧山区美术馆、璧山区美术家协会、璧山区书法家协会、璧山区评论家协会等签订合作协议，建立校外美育实践基地。定期组织学生参观展览、参与实践活动，拓宽美育视野。</w:t>
      </w:r>
    </w:p>
    <w:p w14:paraId="1A4F24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设立企业美育实训基地。与相关企业合作，建立具有行业特色的美育实训基地，将工业美学、设计创新等融入实践教学，让学生在真实的工作场景中感受职业之美、工艺之美。</w:t>
      </w:r>
    </w:p>
    <w:p w14:paraId="00491E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打造校园美育文化阵地。优化校园环境，在教学楼、实训楼、图书馆等场所设置美育宣传栏、艺术作品展示区，营造浓厚的美育氛围。</w:t>
      </w:r>
      <w:r>
        <w:rPr>
          <w:rFonts w:hint="eastAsia" w:ascii="Times New Roman" w:hAnsi="Times New Roman" w:eastAsia="方正仿宋_GB2312" w:cs="Times New Roman"/>
          <w:b w:val="0"/>
          <w:kern w:val="2"/>
          <w:sz w:val="33"/>
          <w:szCs w:val="33"/>
          <w:lang w:val="en-US" w:eastAsia="zh-CN" w:bidi="ar-SA"/>
        </w:rPr>
        <w:t>建设了1600平方的艺术实践教学实训中心，承接全国知名剧组来校拍摄短剧近百部。</w:t>
      </w:r>
      <w:r>
        <w:rPr>
          <w:rFonts w:hint="default" w:ascii="Times New Roman" w:hAnsi="Times New Roman" w:eastAsia="方正仿宋_GB2312" w:cs="Times New Roman"/>
          <w:b w:val="0"/>
          <w:kern w:val="2"/>
          <w:sz w:val="33"/>
          <w:szCs w:val="33"/>
          <w:lang w:val="en-US" w:eastAsia="zh-CN" w:bidi="ar-SA"/>
        </w:rPr>
        <w:t>利用校园广播、新媒体平台等传播美育知识，打造全方位的美育文化阵地。</w:t>
      </w:r>
    </w:p>
    <w:p w14:paraId="59F8F0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方正楷体_GB2312" w:hAnsi="方正楷体_GB2312" w:eastAsia="方正楷体_GB2312" w:cs="方正楷体_GB2312"/>
          <w:b w:val="0"/>
          <w:kern w:val="2"/>
          <w:sz w:val="33"/>
          <w:szCs w:val="33"/>
          <w:lang w:val="en-US" w:eastAsia="zh-CN" w:bidi="ar-SA"/>
        </w:rPr>
      </w:pPr>
      <w:r>
        <w:rPr>
          <w:rFonts w:hint="default" w:ascii="方正楷体_GB2312" w:hAnsi="方正楷体_GB2312" w:eastAsia="方正楷体_GB2312" w:cs="方正楷体_GB2312"/>
          <w:b w:val="0"/>
          <w:kern w:val="2"/>
          <w:sz w:val="33"/>
          <w:szCs w:val="33"/>
          <w:lang w:val="en-US" w:eastAsia="zh-CN" w:bidi="ar-SA"/>
        </w:rPr>
        <w:t>（四）打造品牌艺术活动</w:t>
      </w:r>
    </w:p>
    <w:p w14:paraId="7D2C5A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全年开展8项重点美育实践活动，形成</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月月有主题</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的品牌矩阵，美育活动质量显著提升。美育实践活动包括包括</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龙韵机巧·非遗智造工坊</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手工艺工作坊、</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花影筑模・自然美学</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设计大赛、</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墨韵机心</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校园艺术节和</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数智幻境交互艺术展</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美育嘉年华</w:t>
      </w:r>
      <w:r>
        <w:rPr>
          <w:rFonts w:hint="eastAsia" w:ascii="Times New Roman" w:hAnsi="Times New Roman" w:eastAsia="方正仿宋_GB2312" w:cs="Times New Roman"/>
          <w:b w:val="0"/>
          <w:kern w:val="2"/>
          <w:sz w:val="33"/>
          <w:szCs w:val="33"/>
          <w:lang w:val="en-US" w:eastAsia="zh-CN" w:bidi="ar-SA"/>
        </w:rPr>
        <w:t>、舞蹈大赛</w:t>
      </w:r>
      <w:bookmarkStart w:id="0" w:name="_GoBack"/>
      <w:bookmarkEnd w:id="0"/>
      <w:r>
        <w:rPr>
          <w:rFonts w:hint="default" w:ascii="Times New Roman" w:hAnsi="Times New Roman" w:eastAsia="方正仿宋_GB2312" w:cs="Times New Roman"/>
          <w:b w:val="0"/>
          <w:kern w:val="2"/>
          <w:sz w:val="33"/>
          <w:szCs w:val="33"/>
          <w:lang w:val="en-US" w:eastAsia="zh-CN" w:bidi="ar-SA"/>
        </w:rPr>
        <w:t>等。</w:t>
      </w:r>
    </w:p>
    <w:p w14:paraId="0C27F2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开展</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美育浸润</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主题活动、培育优秀美育社团、举办</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高雅艺术进校园</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活动、建设</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美育长廊</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和开展</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一院一品</w:t>
      </w:r>
      <w:r>
        <w:rPr>
          <w:rFonts w:hint="eastAsia" w:ascii="Times New Roman" w:hAnsi="Times New Roman" w:eastAsia="方正仿宋_GB2312" w:cs="Times New Roman"/>
          <w:b w:val="0"/>
          <w:kern w:val="2"/>
          <w:sz w:val="33"/>
          <w:szCs w:val="33"/>
          <w:lang w:val="en-US" w:eastAsia="zh-CN" w:bidi="ar-SA"/>
        </w:rPr>
        <w:t>”</w:t>
      </w:r>
      <w:r>
        <w:rPr>
          <w:rFonts w:hint="default" w:ascii="Times New Roman" w:hAnsi="Times New Roman" w:eastAsia="方正仿宋_GB2312" w:cs="Times New Roman"/>
          <w:b w:val="0"/>
          <w:kern w:val="2"/>
          <w:sz w:val="33"/>
          <w:szCs w:val="33"/>
          <w:lang w:val="en-US" w:eastAsia="zh-CN" w:bidi="ar-SA"/>
        </w:rPr>
        <w:t>美育特色活动等特色活动，</w:t>
      </w:r>
      <w:r>
        <w:rPr>
          <w:rFonts w:hint="eastAsia" w:ascii="Times New Roman" w:hAnsi="Times New Roman" w:eastAsia="方正仿宋_GB2312" w:cs="Times New Roman"/>
          <w:b w:val="0"/>
          <w:kern w:val="2"/>
          <w:sz w:val="33"/>
          <w:szCs w:val="33"/>
          <w:lang w:val="en-US" w:eastAsia="zh-CN" w:bidi="ar-SA"/>
        </w:rPr>
        <w:t>开展助力“渝超”璧山主场啦啦操表演活动，</w:t>
      </w:r>
      <w:r>
        <w:rPr>
          <w:rFonts w:hint="default" w:ascii="Times New Roman" w:hAnsi="Times New Roman" w:eastAsia="方正仿宋_GB2312" w:cs="Times New Roman"/>
          <w:b w:val="0"/>
          <w:kern w:val="2"/>
          <w:sz w:val="33"/>
          <w:szCs w:val="33"/>
          <w:lang w:val="en-US" w:eastAsia="zh-CN" w:bidi="ar-SA"/>
        </w:rPr>
        <w:t>提升学生参与度与社会影响力。</w:t>
      </w:r>
    </w:p>
    <w:p w14:paraId="799C7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方正楷体_GB2312" w:hAnsi="方正楷体_GB2312" w:eastAsia="方正楷体_GB2312" w:cs="方正楷体_GB2312"/>
          <w:b w:val="0"/>
          <w:kern w:val="2"/>
          <w:sz w:val="33"/>
          <w:szCs w:val="33"/>
          <w:lang w:val="en-US" w:eastAsia="zh-CN" w:bidi="ar-SA"/>
        </w:rPr>
      </w:pPr>
      <w:r>
        <w:rPr>
          <w:rFonts w:hint="default" w:ascii="方正楷体_GB2312" w:hAnsi="方正楷体_GB2312" w:eastAsia="方正楷体_GB2312" w:cs="方正楷体_GB2312"/>
          <w:b w:val="0"/>
          <w:kern w:val="2"/>
          <w:sz w:val="33"/>
          <w:szCs w:val="33"/>
          <w:lang w:val="en-US" w:eastAsia="zh-CN" w:bidi="ar-SA"/>
        </w:rPr>
        <w:t>（五）推进“互联网+美育”建设</w:t>
      </w:r>
    </w:p>
    <w:p w14:paraId="78DF0C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84"/>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 xml:space="preserve">  搭建数字化美育平台。建设集课程学习、资源共享、活动展示、互动交流于一体的线上美育平台，整合优质美育资源，为学生提供便捷的美育学习渠道。</w:t>
      </w:r>
    </w:p>
    <w:p w14:paraId="3FDC68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开发虚拟美育资源。利用 VR/AR 技术开发虚拟艺术展厅，让学生通过虚拟现实技术体验艺术作品、文化遗产等，拓展美育空间。</w:t>
      </w:r>
    </w:p>
    <w:p w14:paraId="0F3BEB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开展线上美育活动。举办线上艺术展览、网络设计大赛等活动，创新美育形式，提高学生参与度。利用直播平台开展美育讲座、工作坊等，扩大美育覆盖面。</w:t>
      </w:r>
    </w:p>
    <w:p w14:paraId="492286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建立美育大数据分析系统。通过线上平台收集学生参与美育活动的数据，分析学生的美育需求和学习情况，为美育工作优化提供数据支持，实现精准美育。</w:t>
      </w:r>
    </w:p>
    <w:p w14:paraId="18407970">
      <w:pPr>
        <w:keepNext w:val="0"/>
        <w:keepLines w:val="0"/>
        <w:pageBreakBefore w:val="0"/>
        <w:kinsoku/>
        <w:wordWrap/>
        <w:overflowPunct/>
        <w:topLinePunct w:val="0"/>
        <w:autoSpaceDE/>
        <w:autoSpaceDN/>
        <w:bidi w:val="0"/>
        <w:adjustRightInd/>
        <w:snapToGrid/>
        <w:spacing w:line="600" w:lineRule="exact"/>
        <w:ind w:firstLine="660" w:firstLineChars="200"/>
        <w:jc w:val="both"/>
        <w:textAlignment w:val="auto"/>
        <w:rPr>
          <w:rFonts w:hint="default" w:ascii="Times New Roman" w:hAnsi="Times New Roman" w:eastAsia="方正仿宋_GB2312" w:cs="Times New Roman"/>
          <w:b w:val="0"/>
          <w:kern w:val="2"/>
          <w:sz w:val="33"/>
          <w:szCs w:val="33"/>
          <w:lang w:val="en-US" w:eastAsia="zh-CN" w:bidi="ar-SA"/>
        </w:rPr>
      </w:pPr>
      <w:r>
        <w:rPr>
          <w:rFonts w:hint="default" w:ascii="Times New Roman" w:hAnsi="Times New Roman" w:eastAsia="方正仿宋_GB2312" w:cs="Times New Roman"/>
          <w:b w:val="0"/>
          <w:kern w:val="2"/>
          <w:sz w:val="33"/>
          <w:szCs w:val="33"/>
          <w:lang w:val="en-US" w:eastAsia="zh-CN" w:bidi="ar-SA"/>
        </w:rPr>
        <w:t>未来工作中，将紧密围绕学校职业本科试点评估建设目标，立足办学实际，结合专业优势，</w:t>
      </w:r>
      <w:r>
        <w:rPr>
          <w:rFonts w:hint="default" w:ascii="Times New Roman" w:hAnsi="Times New Roman" w:eastAsia="方正仿宋_GB2312" w:cs="Times New Roman"/>
          <w:sz w:val="33"/>
          <w:szCs w:val="33"/>
        </w:rPr>
        <w:t>坚持把美育纳入</w:t>
      </w:r>
      <w:r>
        <w:rPr>
          <w:rFonts w:hint="default" w:ascii="Times New Roman" w:hAnsi="Times New Roman" w:eastAsia="方正仿宋_GB2312" w:cs="Times New Roman"/>
          <w:sz w:val="33"/>
          <w:szCs w:val="33"/>
          <w:lang w:val="en-US" w:eastAsia="zh-CN"/>
        </w:rPr>
        <w:t>专业</w:t>
      </w:r>
      <w:r>
        <w:rPr>
          <w:rFonts w:hint="default" w:ascii="Times New Roman" w:hAnsi="Times New Roman" w:eastAsia="方正仿宋_GB2312" w:cs="Times New Roman"/>
          <w:sz w:val="33"/>
          <w:szCs w:val="33"/>
        </w:rPr>
        <w:t>人才培养全过程</w:t>
      </w:r>
      <w:r>
        <w:rPr>
          <w:rFonts w:hint="default" w:ascii="Times New Roman" w:hAnsi="Times New Roman" w:eastAsia="方正仿宋_GB2312" w:cs="Times New Roman"/>
          <w:sz w:val="33"/>
          <w:szCs w:val="33"/>
          <w:lang w:eastAsia="zh-CN"/>
        </w:rPr>
        <w:t>、</w:t>
      </w:r>
      <w:r>
        <w:rPr>
          <w:rFonts w:hint="default" w:ascii="Times New Roman" w:hAnsi="Times New Roman" w:eastAsia="方正仿宋_GB2312" w:cs="Times New Roman"/>
          <w:sz w:val="33"/>
          <w:szCs w:val="33"/>
          <w:lang w:val="en-US" w:eastAsia="zh-CN"/>
        </w:rPr>
        <w:t>全覆盖</w:t>
      </w:r>
      <w:r>
        <w:rPr>
          <w:rFonts w:hint="default" w:ascii="Times New Roman" w:hAnsi="Times New Roman" w:eastAsia="方正仿宋_GB2312" w:cs="Times New Roman"/>
          <w:sz w:val="33"/>
          <w:szCs w:val="33"/>
        </w:rPr>
        <w:t>，完善德智体美劳</w:t>
      </w:r>
      <w:r>
        <w:rPr>
          <w:rFonts w:hint="eastAsia" w:ascii="Times New Roman" w:hAnsi="Times New Roman" w:eastAsia="方正仿宋_GB2312" w:cs="Times New Roman"/>
          <w:sz w:val="33"/>
          <w:szCs w:val="33"/>
          <w:lang w:eastAsia="zh-CN"/>
        </w:rPr>
        <w:t>“</w:t>
      </w:r>
      <w:r>
        <w:rPr>
          <w:rFonts w:hint="default" w:ascii="Times New Roman" w:hAnsi="Times New Roman" w:eastAsia="方正仿宋_GB2312" w:cs="Times New Roman"/>
          <w:sz w:val="33"/>
          <w:szCs w:val="33"/>
        </w:rPr>
        <w:t>五育并举</w:t>
      </w:r>
      <w:r>
        <w:rPr>
          <w:rFonts w:hint="eastAsia" w:ascii="Times New Roman" w:hAnsi="Times New Roman" w:eastAsia="方正仿宋_GB2312" w:cs="Times New Roman"/>
          <w:sz w:val="33"/>
          <w:szCs w:val="33"/>
          <w:lang w:eastAsia="zh-CN"/>
        </w:rPr>
        <w:t>”</w:t>
      </w:r>
      <w:r>
        <w:rPr>
          <w:rFonts w:hint="default" w:ascii="Times New Roman" w:hAnsi="Times New Roman" w:eastAsia="方正仿宋_GB2312" w:cs="Times New Roman"/>
          <w:sz w:val="33"/>
          <w:szCs w:val="33"/>
        </w:rPr>
        <w:t>的育人体系，以课程教育为基础，以文化艺术熏陶为引领，以社团活动为载体，以专项实践为依托，以美育人、以美化人、以美培元，提高学生审美能力和人文素养，培养具有崇高审美追求、高尚人格修养的</w:t>
      </w:r>
      <w:r>
        <w:rPr>
          <w:rFonts w:hint="default" w:ascii="Times New Roman" w:hAnsi="Times New Roman" w:eastAsia="方正仿宋_GB2312" w:cs="Times New Roman"/>
          <w:sz w:val="33"/>
          <w:szCs w:val="33"/>
          <w:lang w:val="en-US" w:eastAsia="zh-CN"/>
        </w:rPr>
        <w:t>高端技能</w:t>
      </w:r>
      <w:r>
        <w:rPr>
          <w:rFonts w:hint="default" w:ascii="Times New Roman" w:hAnsi="Times New Roman" w:eastAsia="方正仿宋_GB2312" w:cs="Times New Roman"/>
          <w:sz w:val="33"/>
          <w:szCs w:val="33"/>
        </w:rPr>
        <w:t>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28D0F4CC-C8F6-498D-822A-2D56DABCE66A}"/>
  </w:font>
  <w:font w:name="方正仿宋_GB2312">
    <w:panose1 w:val="02000000000000000000"/>
    <w:charset w:val="86"/>
    <w:family w:val="auto"/>
    <w:pitch w:val="default"/>
    <w:sig w:usb0="A00002BF" w:usb1="184F6CFA" w:usb2="00000012" w:usb3="00000000" w:csb0="00040001" w:csb1="00000000"/>
    <w:embedRegular r:id="rId2" w:fontKey="{20F5AD9E-971D-45D9-BD3E-71F2DF81200F}"/>
  </w:font>
  <w:font w:name="方正公文黑体">
    <w:panose1 w:val="02000500000000000000"/>
    <w:charset w:val="86"/>
    <w:family w:val="auto"/>
    <w:pitch w:val="default"/>
    <w:sig w:usb0="A00002BF" w:usb1="38CF7CFA" w:usb2="00000016" w:usb3="00000000" w:csb0="00040001" w:csb1="00000000"/>
    <w:embedRegular r:id="rId3" w:fontKey="{34B48968-22E3-447F-ADFD-1212617B1316}"/>
  </w:font>
  <w:font w:name="方正楷体_GB2312">
    <w:panose1 w:val="02000000000000000000"/>
    <w:charset w:val="86"/>
    <w:family w:val="auto"/>
    <w:pitch w:val="default"/>
    <w:sig w:usb0="A00002BF" w:usb1="184F6CFA" w:usb2="00000012" w:usb3="00000000" w:csb0="00040001" w:csb1="00000000"/>
    <w:embedRegular r:id="rId4" w:fontKey="{2AE70F7D-5EC0-4F2B-8AD8-AC4C62CF8FA8}"/>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D203C"/>
    <w:rsid w:val="01176754"/>
    <w:rsid w:val="02EA733A"/>
    <w:rsid w:val="48B12D0A"/>
    <w:rsid w:val="507B31F0"/>
    <w:rsid w:val="68BC6214"/>
    <w:rsid w:val="6C30140A"/>
    <w:rsid w:val="721B4BCD"/>
    <w:rsid w:val="72EA51D5"/>
    <w:rsid w:val="788D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2114</Words>
  <Characters>2141</Characters>
  <Lines>0</Lines>
  <Paragraphs>0</Paragraphs>
  <TotalTime>19</TotalTime>
  <ScaleCrop>false</ScaleCrop>
  <LinksUpToDate>false</LinksUpToDate>
  <CharactersWithSpaces>2146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2025-11-06T02:32:00Z</dcterms:created>
  <dc:creator>好</dc:creator>
  <cp:lastModifiedBy>小呆</cp:lastModifiedBy>
  <dcterms:modified xsi:type="dcterms:W3CDTF">2025-11-06T14:53:57Z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8C5FEA1E2E2641ACAB5911BFD1A58297_13</vt:lpwstr>
  </property>
  <property fmtid="{D5CDD505-2E9C-101B-9397-08002B2CF9AE}" pid="4" name="KSOTemplateDocerSaveRecord">
    <vt:lpwstr>eyJoZGlkIjoiN2YzNjBkOTgyNWQ1YTMxYzM3MzMwNWFiODNmOWIzYWMiLCJ1c2VySWQiOiI0MzkyOTIwNjcifQ==</vt:lpwstr>
  </property>
</Properties>
</file>