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为进一步鼓励和支持学院师生踊跃参加各级各类职业技能竞赛，充分展现机电风采和学院办学特色，规范我院职业技能竞赛（以下简称竞赛）活动，促进其健康、有序、有效开展，制定本管理办法。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一、技能竞赛范围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本办法所指技能竞赛是指与教学关系紧密，通过教育行政主管部门（教育部和重庆市教委）或政府相关行业部门以及各级行业协会主办或组织，由在校高职院校学生(教师)参加的常设性职业技能竞赛。学院重点支持全国和重庆市高等职业院校技能大赛官网确定的官方技能竞赛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二、技能竞赛级别界定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本办法所指职业技能竞赛按参赛等级划分为国家级和重庆市级。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国家级分设两类，国家级一类竞赛是指由教育部、人力资源与社会保障部、工信部等国家政府部门，以及共青团中央、全国总工会主办、或牵头组织举办的职业技能竞赛。</w:t>
      </w:r>
      <w:r>
        <w:rPr>
          <w:rFonts w:hint="default" w:ascii="tamoha" w:hAnsi="tamoha" w:eastAsia="tamoha" w:cs="tamoha"/>
          <w:i w:val="0"/>
          <w:caps w:val="0"/>
          <w:color w:val="333333"/>
          <w:spacing w:val="0"/>
          <w:kern w:val="0"/>
          <w:sz w:val="28"/>
          <w:szCs w:val="28"/>
          <w:bdr w:val="none" w:color="auto" w:sz="0" w:space="0"/>
          <w:lang w:val="en-US" w:eastAsia="zh-CN" w:bidi="ar"/>
        </w:rPr>
        <w:t>“挑战杯”全国大学生科技学术竞赛</w:t>
      </w:r>
      <w:r>
        <w:rPr>
          <w:rFonts w:hint="default" w:ascii="tamoha" w:hAnsi="tamoha" w:eastAsia="tamoha" w:cs="tamoha"/>
          <w:i w:val="0"/>
          <w:caps w:val="0"/>
          <w:color w:val="636363"/>
          <w:spacing w:val="0"/>
          <w:kern w:val="0"/>
          <w:sz w:val="28"/>
          <w:szCs w:val="28"/>
          <w:bdr w:val="none" w:color="auto" w:sz="0" w:space="0"/>
          <w:lang w:val="en-US" w:eastAsia="zh-CN" w:bidi="ar"/>
        </w:rPr>
        <w:t>、全国大学生电子设计大赛、全国大学生数学建模大赛、全国大学生机械创新设计大赛等四项竞赛的获奖者，学院按国家级一类竞赛进行奖励。国家级二类竞赛是指由国家政府部门的司局、直属部门以及教育部教指委、全国行业协会主办、或牵头组织举办的职业技能竞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重庆市级分设两类，重庆市一类竞赛是指由重庆市教委、重庆市市人力资源与社会保障局、经信委等政府部门，以及共青团重庆市委、重庆市总工会主办、或牵头组织举办的职业技能竞赛。重庆市市级二类竞赛是指由重庆市行业协会牵头组织举办的职业技能竞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国家级一类竞赛的地区选拔赛按重庆市级一类竞赛管理，国家级二类竞赛的地区选拔赛按重庆市级二类竞赛管理。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三、技能竞赛组织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学院教务处为技能竞赛组织的职能部门，各系部、实训中心为技能竞赛的具体承办单位。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（一）成立技能竞赛组织委员会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技能竞赛组织委员会是学院技能竞赛的领导机构。竞赛组委会主任由分管教学的副院长担任，委员由教务处、各系部、实训中心的负责人组成。竞赛组委会主要负责审批技能竞赛立项申请、竞赛计划和实施方案，审定竞赛获奖等级及奖励标准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（二）成立组委会办公室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技能竞赛组委会下设办公室，</w:t>
      </w:r>
      <w:bookmarkStart w:id="0" w:name="OLE_LINK11"/>
      <w:r>
        <w:rPr>
          <w:rFonts w:hint="default" w:ascii="tamoha" w:hAnsi="tamoha" w:eastAsia="tamoha" w:cs="tamoha"/>
          <w:i w:val="0"/>
          <w:caps w:val="0"/>
          <w:color w:val="636363"/>
          <w:spacing w:val="0"/>
          <w:kern w:val="0"/>
          <w:sz w:val="28"/>
          <w:szCs w:val="28"/>
          <w:bdr w:val="none" w:color="auto" w:sz="0" w:space="0"/>
          <w:lang w:val="en-US" w:eastAsia="zh-CN" w:bidi="ar"/>
        </w:rPr>
        <w:t>组委会办公室</w:t>
      </w:r>
      <w:bookmarkEnd w:id="0"/>
      <w:r>
        <w:rPr>
          <w:rFonts w:hint="default" w:ascii="tamoha" w:hAnsi="tamoha" w:eastAsia="tamoha" w:cs="tamoha"/>
          <w:i w:val="0"/>
          <w:caps w:val="0"/>
          <w:color w:val="636363"/>
          <w:spacing w:val="0"/>
          <w:kern w:val="0"/>
          <w:sz w:val="28"/>
          <w:szCs w:val="28"/>
          <w:bdr w:val="none" w:color="auto" w:sz="0" w:space="0"/>
          <w:lang w:val="en-US" w:eastAsia="zh-CN" w:bidi="ar"/>
        </w:rPr>
        <w:t>是技能竞赛的组织实施机构。办公室主任由教务处分管技能竞赛的负责人担任，其成员由各系部、实训中心、后勤处、宣传部、财务处共同组成。办公室设在教务处。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四、各部门的职责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（一）各系部、实训中心的职责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1.填报技能竞赛立项申请表；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2.制定技能竞赛的组织方案和训练计划；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3.落实参赛选手的选拔，技能竞赛训练的场地、设备、耗材，以及解决竞赛训练过程中的相关技术和安全问题；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4.负责审核技能竞赛训练计划执行情况和获奖情况，并填报技能竞赛工作量及奖励申请审批表；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5.负责技能竞赛宣传稿的撰写以及文档的整理与存档。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（二）教务处的职责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1.负责技能竞赛立项申请的受理与上报；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2.负责技能竞赛教师工作量和奖励申请的受理、审核与上报；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3.负责审核竞赛获奖等级及奖励标准；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4.负责技能竞赛信息的收集、整理与汇总。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（三）实训中心、后勤处、宣传部、财务处的相应职责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1.配合落实技能竞赛训练的场地、设备、耗材以及相关设备维护；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2.负责技能竞赛通讯稿的采集、编辑，以及报道与网络宣传；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3.负责技能竞赛相关经费的审核与发放。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五、竞赛组织流程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技能竞赛的组织流程如下：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（一）各系、实训中心填报技能竞赛立项申请表，制定实施方案和训练计划；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（二）教务处受理立项申请，汇总实施方案，并统筹上报；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（三）组委会审批立项申请、竞赛计划和实施方案；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（四）各系、实训中心具体组织实施各项技能竞赛训练和参赛；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（五）各系、实训中心审核技能竞赛训练计划执行情况和获奖情况；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（六）教务处审核技能竞赛获奖等级及教师工作量和奖励标准；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（七）组委会审定技能竞赛获奖等级及教师工作量和奖励标准；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（八）财务处审核和发放技能竞赛相关经费；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（九）技能竞赛成果宣传以及过程文档收集、整理、汇总和归档。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六、技能竞赛经费管理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（一）训练所产生的设备及材料费用，承办部门根据技能竞赛要求提出预算，报学院审批后由相关部门落实，设备材料记入学校资产。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（二）指导教师和参赛学生因竞赛产生的差旅费，由学校根据相关规定报销。超支的差旅费原则上由承办部门自行承担。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（三）报名费、评选费等向大赛组委会上交的费用，凭大赛组委会开具的正式发票由学校报销（无正式发票学校不予报销）。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七、技能竞赛奖励办法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（一）学生参加各级各类职业技能竞赛</w:t>
      </w:r>
      <w:bookmarkStart w:id="1" w:name="OLE_LINK13"/>
      <w:r>
        <w:rPr>
          <w:rFonts w:hint="default" w:ascii="tamoha" w:hAnsi="tamoha" w:eastAsia="tamoha" w:cs="tamoha"/>
          <w:b/>
          <w:i w:val="0"/>
          <w:caps w:val="0"/>
          <w:color w:val="636363"/>
          <w:spacing w:val="0"/>
          <w:kern w:val="0"/>
          <w:sz w:val="28"/>
          <w:szCs w:val="28"/>
          <w:bdr w:val="none" w:color="auto" w:sz="0" w:space="0"/>
          <w:lang w:val="en-US" w:eastAsia="zh-CN" w:bidi="ar"/>
        </w:rPr>
        <w:t>的奖励办法</w:t>
      </w:r>
      <w:bookmarkEnd w:id="1"/>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1.团体项目奖励标准（每项）</w:t>
      </w:r>
    </w:p>
    <w:tbl>
      <w:tblPr>
        <w:tblW w:w="8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99"/>
        <w:gridCol w:w="1001"/>
        <w:gridCol w:w="888"/>
        <w:gridCol w:w="888"/>
        <w:gridCol w:w="888"/>
      </w:tblGrid>
      <w:tr>
        <w:tblPrEx>
          <w:shd w:val="clear"/>
        </w:tblPrEx>
        <w:trPr>
          <w:trHeight w:val="589" w:hRule="atLeast"/>
        </w:trPr>
        <w:tc>
          <w:tcPr>
            <w:tcW w:w="1276" w:type="dxa"/>
            <w:tcBorders>
              <w:top w:val="single" w:color="auto" w:sz="12" w:space="0"/>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级别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等级                                            </w:t>
            </w:r>
          </w:p>
        </w:tc>
        <w:tc>
          <w:tcPr>
            <w:tcW w:w="1702" w:type="dxa"/>
            <w:tcBorders>
              <w:top w:val="single" w:color="auto" w:sz="12"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国家级一类</w:t>
            </w:r>
          </w:p>
        </w:tc>
        <w:tc>
          <w:tcPr>
            <w:tcW w:w="1702" w:type="dxa"/>
            <w:tcBorders>
              <w:top w:val="single" w:color="auto" w:sz="12"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国家级二类</w:t>
            </w:r>
          </w:p>
        </w:tc>
        <w:tc>
          <w:tcPr>
            <w:tcW w:w="1702" w:type="dxa"/>
            <w:tcBorders>
              <w:top w:val="single" w:color="auto" w:sz="12"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重庆市级一类</w:t>
            </w:r>
          </w:p>
        </w:tc>
        <w:tc>
          <w:tcPr>
            <w:tcW w:w="1702" w:type="dxa"/>
            <w:tcBorders>
              <w:top w:val="single" w:color="auto" w:sz="12" w:space="0"/>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重庆市级二类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89" w:hRule="atLeast"/>
        </w:trPr>
        <w:tc>
          <w:tcPr>
            <w:tcW w:w="1276" w:type="dxa"/>
            <w:tcBorders>
              <w:top w:val="nil"/>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特等奖</w:t>
            </w:r>
          </w:p>
        </w:tc>
        <w:tc>
          <w:tcPr>
            <w:tcW w:w="170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15000元</w:t>
            </w:r>
          </w:p>
        </w:tc>
        <w:tc>
          <w:tcPr>
            <w:tcW w:w="170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6000元</w:t>
            </w:r>
          </w:p>
        </w:tc>
        <w:tc>
          <w:tcPr>
            <w:tcW w:w="170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6000元</w:t>
            </w:r>
          </w:p>
        </w:tc>
        <w:tc>
          <w:tcPr>
            <w:tcW w:w="1702" w:type="dxa"/>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3500元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76" w:hRule="atLeast"/>
        </w:trPr>
        <w:tc>
          <w:tcPr>
            <w:tcW w:w="1276" w:type="dxa"/>
            <w:tcBorders>
              <w:top w:val="nil"/>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一等奖</w:t>
            </w:r>
          </w:p>
        </w:tc>
        <w:tc>
          <w:tcPr>
            <w:tcW w:w="170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10000元</w:t>
            </w:r>
          </w:p>
        </w:tc>
        <w:tc>
          <w:tcPr>
            <w:tcW w:w="170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4000元</w:t>
            </w:r>
          </w:p>
        </w:tc>
        <w:tc>
          <w:tcPr>
            <w:tcW w:w="170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4000元</w:t>
            </w:r>
          </w:p>
        </w:tc>
        <w:tc>
          <w:tcPr>
            <w:tcW w:w="1702" w:type="dxa"/>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2500元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89" w:hRule="atLeast"/>
        </w:trPr>
        <w:tc>
          <w:tcPr>
            <w:tcW w:w="1276" w:type="dxa"/>
            <w:tcBorders>
              <w:top w:val="nil"/>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二等奖</w:t>
            </w:r>
          </w:p>
        </w:tc>
        <w:tc>
          <w:tcPr>
            <w:tcW w:w="170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7000元</w:t>
            </w:r>
          </w:p>
        </w:tc>
        <w:tc>
          <w:tcPr>
            <w:tcW w:w="170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3000元</w:t>
            </w:r>
          </w:p>
        </w:tc>
        <w:tc>
          <w:tcPr>
            <w:tcW w:w="170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3000元</w:t>
            </w:r>
          </w:p>
        </w:tc>
        <w:tc>
          <w:tcPr>
            <w:tcW w:w="1702" w:type="dxa"/>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89" w:hRule="atLeast"/>
        </w:trPr>
        <w:tc>
          <w:tcPr>
            <w:tcW w:w="1276" w:type="dxa"/>
            <w:tcBorders>
              <w:top w:val="nil"/>
              <w:left w:val="single" w:color="auto" w:sz="12" w:space="0"/>
              <w:bottom w:val="single" w:color="auto" w:sz="12"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三等奖</w:t>
            </w:r>
          </w:p>
        </w:tc>
        <w:tc>
          <w:tcPr>
            <w:tcW w:w="1702" w:type="dxa"/>
            <w:tcBorders>
              <w:top w:val="nil"/>
              <w:left w:val="nil"/>
              <w:bottom w:val="single" w:color="auto" w:sz="12"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5000元</w:t>
            </w:r>
          </w:p>
        </w:tc>
        <w:tc>
          <w:tcPr>
            <w:tcW w:w="1702" w:type="dxa"/>
            <w:tcBorders>
              <w:top w:val="nil"/>
              <w:left w:val="nil"/>
              <w:bottom w:val="single" w:color="auto" w:sz="12"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2000元</w:t>
            </w:r>
          </w:p>
        </w:tc>
        <w:tc>
          <w:tcPr>
            <w:tcW w:w="1702" w:type="dxa"/>
            <w:tcBorders>
              <w:top w:val="nil"/>
              <w:left w:val="nil"/>
              <w:bottom w:val="single" w:color="auto" w:sz="12"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2000元</w:t>
            </w:r>
          </w:p>
        </w:tc>
        <w:tc>
          <w:tcPr>
            <w:tcW w:w="1702" w:type="dxa"/>
            <w:tcBorders>
              <w:top w:val="nil"/>
              <w:left w:val="nil"/>
              <w:bottom w:val="single" w:color="auto" w:sz="12"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1500元</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注：“团体项目”是指每项技能竞赛的参赛学生在2人及以上。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2.个人项目技能</w:t>
      </w:r>
      <w:bookmarkStart w:id="2" w:name="OLE_LINK16"/>
      <w:r>
        <w:rPr>
          <w:rFonts w:hint="default" w:ascii="tamoha" w:hAnsi="tamoha" w:eastAsia="tamoha" w:cs="tamoha"/>
          <w:i w:val="0"/>
          <w:caps w:val="0"/>
          <w:color w:val="636363"/>
          <w:spacing w:val="0"/>
          <w:kern w:val="0"/>
          <w:sz w:val="28"/>
          <w:szCs w:val="28"/>
          <w:bdr w:val="none" w:color="auto" w:sz="0" w:space="0"/>
          <w:lang w:val="en-US" w:eastAsia="zh-CN" w:bidi="ar"/>
        </w:rPr>
        <w:t>竞赛</w:t>
      </w:r>
      <w:bookmarkEnd w:id="2"/>
      <w:r>
        <w:rPr>
          <w:rFonts w:hint="default" w:ascii="tamoha" w:hAnsi="tamoha" w:eastAsia="tamoha" w:cs="tamoha"/>
          <w:i w:val="0"/>
          <w:caps w:val="0"/>
          <w:color w:val="636363"/>
          <w:spacing w:val="0"/>
          <w:kern w:val="0"/>
          <w:sz w:val="28"/>
          <w:szCs w:val="28"/>
          <w:bdr w:val="none" w:color="auto" w:sz="0" w:space="0"/>
          <w:lang w:val="en-US" w:eastAsia="zh-CN" w:bidi="ar"/>
        </w:rPr>
        <w:t>获奖学生的奖励，按团体项目奖励标准50%进行奖励。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3.</w:t>
      </w:r>
      <w:bookmarkStart w:id="3" w:name="OLE_LINK14"/>
      <w:r>
        <w:rPr>
          <w:rFonts w:hint="default" w:ascii="tamoha" w:hAnsi="tamoha" w:eastAsia="tamoha" w:cs="tamoha"/>
          <w:i w:val="0"/>
          <w:caps w:val="0"/>
          <w:color w:val="636363"/>
          <w:spacing w:val="0"/>
          <w:kern w:val="0"/>
          <w:sz w:val="28"/>
          <w:szCs w:val="28"/>
          <w:bdr w:val="none" w:color="auto" w:sz="0" w:space="0"/>
          <w:lang w:val="en-US" w:eastAsia="zh-CN" w:bidi="ar"/>
        </w:rPr>
        <w:t>竞赛组委会批量设置</w:t>
      </w:r>
      <w:bookmarkEnd w:id="3"/>
      <w:r>
        <w:rPr>
          <w:rFonts w:hint="default" w:ascii="tamoha" w:hAnsi="tamoha" w:eastAsia="tamoha" w:cs="tamoha"/>
          <w:i w:val="0"/>
          <w:caps w:val="0"/>
          <w:color w:val="636363"/>
          <w:spacing w:val="0"/>
          <w:kern w:val="0"/>
          <w:sz w:val="28"/>
          <w:szCs w:val="28"/>
          <w:bdr w:val="none" w:color="auto" w:sz="0" w:space="0"/>
          <w:lang w:val="en-US" w:eastAsia="zh-CN" w:bidi="ar"/>
        </w:rPr>
        <w:t>奖项时（批量设置是指特、一、二、三等奖分别同时设有10、20、30、50名以上），学院对团体项目或个人项目获奖者，分别按照上述奖励标准的30%进行奖励。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4.学生参加各级各类职业技能竞赛项目的奖金发放到系部。鉴于指导教师已计发工作量补贴，学生参加各级各类职业技能竞赛所获学院奖金，由系部按照学生不低于奖金总额的50%，指导</w:t>
      </w:r>
      <w:bookmarkStart w:id="4" w:name="OLE_LINK6"/>
      <w:r>
        <w:rPr>
          <w:rFonts w:hint="default" w:ascii="tamoha" w:hAnsi="tamoha" w:eastAsia="tamoha" w:cs="tamoha"/>
          <w:i w:val="0"/>
          <w:caps w:val="0"/>
          <w:color w:val="636363"/>
          <w:spacing w:val="0"/>
          <w:kern w:val="0"/>
          <w:sz w:val="28"/>
          <w:szCs w:val="28"/>
          <w:bdr w:val="none" w:color="auto" w:sz="0" w:space="0"/>
          <w:lang w:val="en-US" w:eastAsia="zh-CN" w:bidi="ar"/>
        </w:rPr>
        <w:t>教师</w:t>
      </w:r>
      <w:bookmarkEnd w:id="4"/>
      <w:r>
        <w:rPr>
          <w:rFonts w:hint="default" w:ascii="tamoha" w:hAnsi="tamoha" w:eastAsia="tamoha" w:cs="tamoha"/>
          <w:i w:val="0"/>
          <w:caps w:val="0"/>
          <w:color w:val="636363"/>
          <w:spacing w:val="0"/>
          <w:kern w:val="0"/>
          <w:sz w:val="28"/>
          <w:szCs w:val="28"/>
          <w:bdr w:val="none" w:color="auto" w:sz="0" w:space="0"/>
          <w:lang w:val="en-US" w:eastAsia="zh-CN" w:bidi="ar"/>
        </w:rPr>
        <w:t>不高于30%，系部管理协调工作提留20%的比例进行二次分配。竞赛中获得的优秀组织工作单位、优秀指导教师等奖项，不再另发奖金。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5.</w:t>
      </w:r>
      <w:bookmarkStart w:id="5" w:name="OLE_LINK2"/>
      <w:r>
        <w:rPr>
          <w:rFonts w:hint="default" w:ascii="tamoha" w:hAnsi="tamoha" w:eastAsia="tamoha" w:cs="tamoha"/>
          <w:i w:val="0"/>
          <w:caps w:val="0"/>
          <w:color w:val="636363"/>
          <w:spacing w:val="0"/>
          <w:kern w:val="0"/>
          <w:sz w:val="28"/>
          <w:szCs w:val="28"/>
          <w:bdr w:val="none" w:color="auto" w:sz="0" w:space="0"/>
          <w:lang w:val="en-US" w:eastAsia="zh-CN" w:bidi="ar"/>
        </w:rPr>
        <w:t>指导</w:t>
      </w:r>
      <w:bookmarkEnd w:id="5"/>
      <w:r>
        <w:rPr>
          <w:rFonts w:hint="default" w:ascii="tamoha" w:hAnsi="tamoha" w:eastAsia="tamoha" w:cs="tamoha"/>
          <w:i w:val="0"/>
          <w:caps w:val="0"/>
          <w:color w:val="636363"/>
          <w:spacing w:val="0"/>
          <w:kern w:val="0"/>
          <w:sz w:val="28"/>
          <w:szCs w:val="28"/>
          <w:bdr w:val="none" w:color="auto" w:sz="0" w:space="0"/>
          <w:lang w:val="en-US" w:eastAsia="zh-CN" w:bidi="ar"/>
        </w:rPr>
        <w:t>学生参加国家级一类竞赛,每位教师的指导工作量折算为40课时；指导学生参加国家级二类竞赛或重庆市一类竞赛, 每位教师的</w:t>
      </w:r>
      <w:bookmarkStart w:id="6" w:name="OLE_LINK4"/>
      <w:r>
        <w:rPr>
          <w:rFonts w:hint="default" w:ascii="tamoha" w:hAnsi="tamoha" w:eastAsia="tamoha" w:cs="tamoha"/>
          <w:i w:val="0"/>
          <w:caps w:val="0"/>
          <w:color w:val="636363"/>
          <w:spacing w:val="0"/>
          <w:kern w:val="0"/>
          <w:sz w:val="28"/>
          <w:szCs w:val="28"/>
          <w:bdr w:val="none" w:color="auto" w:sz="0" w:space="0"/>
          <w:lang w:val="en-US" w:eastAsia="zh-CN" w:bidi="ar"/>
        </w:rPr>
        <w:t>指导工作量</w:t>
      </w:r>
      <w:bookmarkEnd w:id="6"/>
      <w:r>
        <w:rPr>
          <w:rFonts w:hint="default" w:ascii="tamoha" w:hAnsi="tamoha" w:eastAsia="tamoha" w:cs="tamoha"/>
          <w:i w:val="0"/>
          <w:caps w:val="0"/>
          <w:color w:val="636363"/>
          <w:spacing w:val="0"/>
          <w:kern w:val="0"/>
          <w:sz w:val="28"/>
          <w:szCs w:val="28"/>
          <w:bdr w:val="none" w:color="auto" w:sz="0" w:space="0"/>
          <w:lang w:val="en-US" w:eastAsia="zh-CN" w:bidi="ar"/>
        </w:rPr>
        <w:t>折算为30课时；指导学生参加重庆市二类竞赛, 每位教师的指导工作量折算为20课时。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指导</w:t>
      </w:r>
      <w:r>
        <w:rPr>
          <w:rFonts w:hint="default" w:ascii="tamoha" w:hAnsi="tamoha" w:eastAsia="tamoha" w:cs="tamoha"/>
          <w:i w:val="0"/>
          <w:caps w:val="0"/>
          <w:color w:val="636363"/>
          <w:spacing w:val="0"/>
          <w:kern w:val="0"/>
          <w:sz w:val="28"/>
          <w:szCs w:val="28"/>
          <w:bdr w:val="none" w:color="auto" w:sz="0" w:space="0"/>
          <w:lang w:val="en-US" w:eastAsia="zh-CN" w:bidi="ar"/>
        </w:rPr>
        <w:t>教师</w:t>
      </w:r>
      <w:r>
        <w:rPr>
          <w:rFonts w:hint="default" w:ascii="tamoha" w:hAnsi="tamoha" w:eastAsia="tamoha" w:cs="tamoha"/>
          <w:i w:val="0"/>
          <w:caps w:val="0"/>
          <w:color w:val="636363"/>
          <w:spacing w:val="0"/>
          <w:kern w:val="0"/>
          <w:sz w:val="30"/>
          <w:szCs w:val="30"/>
          <w:bdr w:val="none" w:color="auto" w:sz="0" w:space="0"/>
          <w:lang w:val="en-US" w:eastAsia="zh-CN" w:bidi="ar"/>
        </w:rPr>
        <w:t>在申请指导工作量津贴时，须附指导学生参赛的培训计划和培训日志</w:t>
      </w:r>
      <w:r>
        <w:rPr>
          <w:rFonts w:hint="default" w:ascii="tamoha" w:hAnsi="tamoha" w:eastAsia="tamoha" w:cs="tamoha"/>
          <w:i w:val="0"/>
          <w:caps w:val="0"/>
          <w:color w:val="636363"/>
          <w:spacing w:val="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6.各系部上报的技能竞赛指导教师，必须是参加竞赛项目的实际指导教师（不能挂名）。国家级一类技能竞赛指导教师控制在3人/项（组）以内，其它级别技能竞赛指导教师为1-2人/项（组）。若因特殊情况需要，经分管院领导批准后，可以适当增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7.为了保证指导效果，同一名教师原则上不能同时指导同一赛事不同项目或同一项目不同组的学生。如因为客观原因无法调配指导教师，经学院分管领导同意后，同一名教师可同时指导同一赛事的不同项目或同一项目不同组。在同一时段指导多个项目或多个竞赛组时，教师指导第一个项目（组）的工作量补贴按上述标准全额发放，指导其它项目（组）的工作量补贴，原则上按同级标准减半发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（二）教师参加各级各类职业技能竞赛的奖励办法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1.奖励标准（每项）：</w:t>
      </w:r>
    </w:p>
    <w:tbl>
      <w:tblPr>
        <w:tblW w:w="8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99"/>
        <w:gridCol w:w="888"/>
        <w:gridCol w:w="888"/>
        <w:gridCol w:w="888"/>
        <w:gridCol w:w="833"/>
      </w:tblGrid>
      <w:tr>
        <w:tblPrEx>
          <w:shd w:val="clear"/>
        </w:tblPrEx>
        <w:trPr>
          <w:trHeight w:val="589" w:hRule="atLeast"/>
        </w:trPr>
        <w:tc>
          <w:tcPr>
            <w:tcW w:w="1276" w:type="dxa"/>
            <w:tcBorders>
              <w:top w:val="single" w:color="auto" w:sz="12" w:space="0"/>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     级别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5"/>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等级                                            </w:t>
            </w:r>
          </w:p>
        </w:tc>
        <w:tc>
          <w:tcPr>
            <w:tcW w:w="1702" w:type="dxa"/>
            <w:tcBorders>
              <w:top w:val="single" w:color="auto" w:sz="12"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国家级一类</w:t>
            </w:r>
          </w:p>
        </w:tc>
        <w:tc>
          <w:tcPr>
            <w:tcW w:w="1702" w:type="dxa"/>
            <w:tcBorders>
              <w:top w:val="single" w:color="auto" w:sz="12"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国家级二类</w:t>
            </w:r>
          </w:p>
        </w:tc>
        <w:tc>
          <w:tcPr>
            <w:tcW w:w="1702" w:type="dxa"/>
            <w:tcBorders>
              <w:top w:val="single" w:color="auto" w:sz="12"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重庆市级一类</w:t>
            </w:r>
          </w:p>
        </w:tc>
        <w:tc>
          <w:tcPr>
            <w:tcW w:w="1702" w:type="dxa"/>
            <w:tcBorders>
              <w:top w:val="single" w:color="auto" w:sz="12" w:space="0"/>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重庆市级二类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89" w:hRule="atLeast"/>
        </w:trPr>
        <w:tc>
          <w:tcPr>
            <w:tcW w:w="1276" w:type="dxa"/>
            <w:tcBorders>
              <w:top w:val="nil"/>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特等奖</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6000元</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3000元</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3000元</w:t>
            </w:r>
          </w:p>
        </w:tc>
        <w:tc>
          <w:tcPr>
            <w:tcW w:w="1702" w:type="dxa"/>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1500元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76" w:hRule="atLeast"/>
        </w:trPr>
        <w:tc>
          <w:tcPr>
            <w:tcW w:w="1276" w:type="dxa"/>
            <w:tcBorders>
              <w:top w:val="nil"/>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一等奖</w:t>
            </w:r>
          </w:p>
        </w:tc>
        <w:tc>
          <w:tcPr>
            <w:tcW w:w="170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4000元</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2000元</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2000元</w:t>
            </w:r>
          </w:p>
        </w:tc>
        <w:tc>
          <w:tcPr>
            <w:tcW w:w="1702" w:type="dxa"/>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1200元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89" w:hRule="atLeast"/>
        </w:trPr>
        <w:tc>
          <w:tcPr>
            <w:tcW w:w="1276" w:type="dxa"/>
            <w:tcBorders>
              <w:top w:val="nil"/>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二等奖</w:t>
            </w:r>
          </w:p>
        </w:tc>
        <w:tc>
          <w:tcPr>
            <w:tcW w:w="170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3000元</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1500元</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1500元</w:t>
            </w:r>
          </w:p>
        </w:tc>
        <w:tc>
          <w:tcPr>
            <w:tcW w:w="1702" w:type="dxa"/>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800元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89" w:hRule="atLeast"/>
        </w:trPr>
        <w:tc>
          <w:tcPr>
            <w:tcW w:w="1276" w:type="dxa"/>
            <w:tcBorders>
              <w:top w:val="nil"/>
              <w:left w:val="single" w:color="auto" w:sz="12" w:space="0"/>
              <w:bottom w:val="single" w:color="auto" w:sz="12"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三等奖</w:t>
            </w:r>
          </w:p>
        </w:tc>
        <w:tc>
          <w:tcPr>
            <w:tcW w:w="1702" w:type="dxa"/>
            <w:tcBorders>
              <w:top w:val="nil"/>
              <w:left w:val="nil"/>
              <w:bottom w:val="single" w:color="auto" w:sz="12"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2000元</w:t>
            </w:r>
          </w:p>
        </w:tc>
        <w:tc>
          <w:tcPr>
            <w:tcW w:w="1702" w:type="dxa"/>
            <w:tcBorders>
              <w:top w:val="nil"/>
              <w:left w:val="nil"/>
              <w:bottom w:val="single" w:color="auto" w:sz="12"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1000元</w:t>
            </w:r>
          </w:p>
        </w:tc>
        <w:tc>
          <w:tcPr>
            <w:tcW w:w="1702" w:type="dxa"/>
            <w:tcBorders>
              <w:top w:val="nil"/>
              <w:left w:val="nil"/>
              <w:bottom w:val="single" w:color="auto" w:sz="12"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1000元</w:t>
            </w:r>
          </w:p>
        </w:tc>
        <w:tc>
          <w:tcPr>
            <w:tcW w:w="1702" w:type="dxa"/>
            <w:tcBorders>
              <w:top w:val="nil"/>
              <w:left w:val="nil"/>
              <w:bottom w:val="single" w:color="auto" w:sz="12"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500元</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教师单独参加、或指导学生参加国家级一类职业技能竞赛三等奖以上获得者，国家级二类、重庆市级一类的职业技能竞赛二等奖以上获得者，或重庆市级二类职业技能竞赛一等奖获得者，在学院评先、职称评定或破格晋升时，在同等条件下予以优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（三）奖励依据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39" w:right="0" w:firstLine="504"/>
        <w:jc w:val="left"/>
        <w:rPr>
          <w:rFonts w:hint="default" w:ascii="tamoha" w:hAnsi="tamoha" w:eastAsia="tamoha" w:cs="tamoha"/>
          <w:i w:val="0"/>
          <w:caps w:val="0"/>
          <w:color w:val="636363"/>
          <w:spacing w:val="0"/>
          <w:sz w:val="28"/>
          <w:szCs w:val="28"/>
        </w:rPr>
      </w:pPr>
      <w:bookmarkStart w:id="7" w:name="OLE_LINK8"/>
      <w:r>
        <w:rPr>
          <w:rFonts w:hint="default" w:ascii="tamoha" w:hAnsi="tamoha" w:eastAsia="tamoha" w:cs="tamoha"/>
          <w:i w:val="0"/>
          <w:caps w:val="0"/>
          <w:color w:val="636363"/>
          <w:spacing w:val="0"/>
          <w:kern w:val="0"/>
          <w:sz w:val="28"/>
          <w:szCs w:val="28"/>
          <w:bdr w:val="none" w:color="auto" w:sz="0" w:space="0"/>
          <w:lang w:val="en-US" w:eastAsia="zh-CN" w:bidi="ar"/>
        </w:rPr>
        <w:t>奖励</w:t>
      </w:r>
      <w:bookmarkEnd w:id="7"/>
      <w:r>
        <w:rPr>
          <w:rFonts w:hint="default" w:ascii="tamoha" w:hAnsi="tamoha" w:eastAsia="tamoha" w:cs="tamoha"/>
          <w:i w:val="0"/>
          <w:caps w:val="0"/>
          <w:color w:val="636363"/>
          <w:spacing w:val="0"/>
          <w:kern w:val="0"/>
          <w:sz w:val="28"/>
          <w:szCs w:val="28"/>
          <w:bdr w:val="none" w:color="auto" w:sz="0" w:space="0"/>
          <w:lang w:val="en-US" w:eastAsia="zh-CN" w:bidi="ar"/>
        </w:rPr>
        <w:t>依据以技能竞赛主办单位正式文件和</w:t>
      </w:r>
      <w:bookmarkStart w:id="8" w:name="OLE_LINK9"/>
      <w:r>
        <w:rPr>
          <w:rFonts w:hint="default" w:ascii="tamoha" w:hAnsi="tamoha" w:eastAsia="tamoha" w:cs="tamoha"/>
          <w:i w:val="0"/>
          <w:caps w:val="0"/>
          <w:color w:val="636363"/>
          <w:spacing w:val="0"/>
          <w:kern w:val="0"/>
          <w:sz w:val="28"/>
          <w:szCs w:val="28"/>
          <w:bdr w:val="none" w:color="auto" w:sz="0" w:space="0"/>
          <w:lang w:val="en-US" w:eastAsia="zh-CN" w:bidi="ar"/>
        </w:rPr>
        <w:t>获奖证书</w:t>
      </w:r>
      <w:bookmarkEnd w:id="8"/>
      <w:r>
        <w:rPr>
          <w:rFonts w:hint="default" w:ascii="tamoha" w:hAnsi="tamoha" w:eastAsia="tamoha" w:cs="tamoha"/>
          <w:i w:val="0"/>
          <w:caps w:val="0"/>
          <w:color w:val="636363"/>
          <w:spacing w:val="0"/>
          <w:kern w:val="0"/>
          <w:sz w:val="28"/>
          <w:szCs w:val="28"/>
          <w:bdr w:val="none" w:color="auto" w:sz="0" w:space="0"/>
          <w:lang w:val="en-US" w:eastAsia="zh-CN" w:bidi="ar"/>
        </w:rPr>
        <w:t>原件为准。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39" w:right="0" w:firstLine="504"/>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在填报奖励申请表时，须附</w:t>
      </w:r>
      <w:bookmarkStart w:id="9" w:name="OLE_LINK10"/>
      <w:r>
        <w:rPr>
          <w:rFonts w:hint="default" w:ascii="tamoha" w:hAnsi="tamoha" w:eastAsia="tamoha" w:cs="tamoha"/>
          <w:i w:val="0"/>
          <w:caps w:val="0"/>
          <w:color w:val="636363"/>
          <w:spacing w:val="0"/>
          <w:kern w:val="0"/>
          <w:sz w:val="28"/>
          <w:szCs w:val="28"/>
          <w:bdr w:val="none" w:color="auto" w:sz="0" w:space="0"/>
          <w:lang w:val="en-US" w:eastAsia="zh-CN" w:bidi="ar"/>
        </w:rPr>
        <w:t>获奖证书复印件</w:t>
      </w:r>
      <w:bookmarkEnd w:id="9"/>
      <w:r>
        <w:rPr>
          <w:rFonts w:hint="default" w:ascii="tamoha" w:hAnsi="tamoha" w:eastAsia="tamoha" w:cs="tamoha"/>
          <w:i w:val="0"/>
          <w:caps w:val="0"/>
          <w:color w:val="636363"/>
          <w:spacing w:val="0"/>
          <w:kern w:val="0"/>
          <w:sz w:val="28"/>
          <w:szCs w:val="28"/>
          <w:bdr w:val="none" w:color="auto" w:sz="0" w:space="0"/>
          <w:lang w:val="en-US" w:eastAsia="zh-CN" w:bidi="ar"/>
        </w:rPr>
        <w:t>。所有获奖证书复印件由组委会办公室（教务处）存档。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2"/>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八、相关说明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（一）所有项目的奖励和指导教师工作量，按就高不就低的原则进行计算，不重复享受。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（二）技能竞赛必须按本办法立项后方可实施，未立项的技能竞赛不能申请相关经费和奖励。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61"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（三）</w:t>
      </w:r>
      <w:r>
        <w:rPr>
          <w:rFonts w:hint="default" w:ascii="tamoha" w:hAnsi="tamoha" w:eastAsia="tamoha" w:cs="tamoha"/>
          <w:i w:val="0"/>
          <w:caps w:val="0"/>
          <w:color w:val="636363"/>
          <w:spacing w:val="0"/>
          <w:kern w:val="0"/>
          <w:sz w:val="30"/>
          <w:szCs w:val="30"/>
          <w:bdr w:val="none" w:color="auto" w:sz="0" w:space="0"/>
          <w:lang w:val="en-US" w:eastAsia="zh-CN" w:bidi="ar"/>
        </w:rPr>
        <w:t>关于</w:t>
      </w:r>
      <w:r>
        <w:rPr>
          <w:rFonts w:hint="default" w:ascii="tamoha" w:hAnsi="tamoha" w:eastAsia="tamoha" w:cs="tamoha"/>
          <w:i w:val="0"/>
          <w:caps w:val="0"/>
          <w:color w:val="636363"/>
          <w:spacing w:val="0"/>
          <w:kern w:val="0"/>
          <w:sz w:val="28"/>
          <w:szCs w:val="28"/>
          <w:bdr w:val="none" w:color="auto" w:sz="0" w:space="0"/>
          <w:lang w:val="en-US" w:eastAsia="zh-CN" w:bidi="ar"/>
        </w:rPr>
        <w:t>师生参加文娱、体育类比赛获奖的奖励办法按</w:t>
      </w:r>
      <w:r>
        <w:rPr>
          <w:rFonts w:hint="default" w:ascii="tamoha" w:hAnsi="tamoha" w:eastAsia="tamoha" w:cs="tamoha"/>
          <w:i w:val="0"/>
          <w:caps w:val="0"/>
          <w:color w:val="636363"/>
          <w:spacing w:val="0"/>
          <w:kern w:val="0"/>
          <w:sz w:val="30"/>
          <w:szCs w:val="30"/>
          <w:bdr w:val="none" w:color="auto" w:sz="0" w:space="0"/>
          <w:lang w:val="en-US" w:eastAsia="zh-CN" w:bidi="ar"/>
        </w:rPr>
        <w:t>重机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人〔2013〕12号文和重机电教〔2014〕2号文执行。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61"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（四）关于校级技能竞赛的管理办法, 按重机电</w:t>
      </w:r>
      <w:bookmarkStart w:id="10" w:name="OLE_LINK1"/>
      <w:r>
        <w:rPr>
          <w:rFonts w:hint="default" w:ascii="tamoha" w:hAnsi="tamoha" w:eastAsia="tamoha" w:cs="tamoha"/>
          <w:i w:val="0"/>
          <w:caps w:val="0"/>
          <w:color w:val="636363"/>
          <w:spacing w:val="0"/>
          <w:kern w:val="0"/>
          <w:sz w:val="28"/>
          <w:szCs w:val="28"/>
          <w:bdr w:val="none" w:color="auto" w:sz="0" w:space="0"/>
          <w:lang w:val="en-US" w:eastAsia="zh-CN" w:bidi="ar"/>
        </w:rPr>
        <w:t>办</w:t>
      </w:r>
      <w:bookmarkEnd w:id="10"/>
      <w:r>
        <w:rPr>
          <w:rFonts w:hint="default" w:ascii="tamoha" w:hAnsi="tamoha" w:eastAsia="tamoha" w:cs="tamoha"/>
          <w:i w:val="0"/>
          <w:caps w:val="0"/>
          <w:color w:val="636363"/>
          <w:spacing w:val="0"/>
          <w:kern w:val="0"/>
          <w:sz w:val="30"/>
          <w:szCs w:val="30"/>
          <w:bdr w:val="none" w:color="auto" w:sz="0" w:space="0"/>
          <w:lang w:val="en-US" w:eastAsia="zh-CN" w:bidi="ar"/>
        </w:rPr>
        <w:t>〔2011〕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30号文执行。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（五）本办法从2014年1月1日起执行，由教务处负责解释，以前相关文件同时废止。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（一）重庆机电职业技术学院技能竞赛立项申请表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（二）省市级以上技能竞赛工作量及奖励申请审批表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0" w:firstLine="560"/>
        <w:jc w:val="righ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line="460" w:lineRule="atLeast"/>
        <w:ind w:left="0" w:right="420" w:firstLine="0"/>
        <w:jc w:val="center"/>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2014年1月10日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line="460" w:lineRule="atLeast"/>
        <w:ind w:left="0" w:right="420" w:firstLine="0"/>
        <w:jc w:val="center"/>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jc w:val="center"/>
        </w:trPr>
        <w:tc>
          <w:tcPr>
            <w:tcW w:w="0" w:type="auto"/>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i w:val="0"/>
                <w:sz w:val="28"/>
                <w:szCs w:val="28"/>
              </w:rPr>
            </w:pPr>
            <w:r>
              <w:rPr>
                <w:b w:val="0"/>
                <w:i w:val="0"/>
                <w:spacing w:val="-10"/>
                <w:sz w:val="28"/>
                <w:szCs w:val="28"/>
                <w:bdr w:val="none" w:color="auto" w:sz="0" w:space="0"/>
              </w:rPr>
              <w:t>重庆机电职业技术学院办公室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bl>
    <w:p>
      <w:pPr>
        <w:rPr>
          <w:vanish/>
          <w:sz w:val="24"/>
          <w:szCs w:val="24"/>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0" w:type="auto"/>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b w:val="0"/>
                <w:i w:val="0"/>
                <w:sz w:val="28"/>
                <w:szCs w:val="28"/>
              </w:rPr>
            </w:pPr>
            <w:r>
              <w:rPr>
                <w:rFonts w:ascii="宋体" w:hAnsi="宋体" w:eastAsia="宋体" w:cs="宋体"/>
                <w:b w:val="0"/>
                <w:i w:val="0"/>
                <w:spacing w:val="-10"/>
                <w:kern w:val="0"/>
                <w:sz w:val="28"/>
                <w:szCs w:val="28"/>
                <w:bdr w:val="none" w:color="auto" w:sz="0" w:space="0"/>
                <w:lang w:val="en-US" w:eastAsia="zh-CN" w:bidi="ar"/>
              </w:rPr>
              <w:t>2014年1月10日印发</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line="460" w:lineRule="atLeast"/>
        <w:ind w:left="0" w:right="420" w:firstLine="0"/>
        <w:jc w:val="center"/>
        <w:rPr>
          <w:rFonts w:hint="default" w:ascii="tamoha" w:hAnsi="tamoha" w:eastAsia="tamoha" w:cs="tamoha"/>
          <w:i w:val="0"/>
          <w:caps w:val="0"/>
          <w:color w:val="63636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line="460" w:lineRule="atLeast"/>
        <w:ind w:left="0" w:right="420"/>
        <w:jc w:val="center"/>
        <w:rPr>
          <w:i w:val="0"/>
          <w:sz w:val="28"/>
          <w:szCs w:val="28"/>
        </w:rPr>
      </w:pPr>
      <w:r>
        <w:rPr>
          <w:rFonts w:hint="default" w:ascii="tamoha" w:hAnsi="tamoha" w:eastAsia="tamoha" w:cs="tamoha"/>
          <w:i w:val="0"/>
          <w:caps w:val="0"/>
          <w:color w:val="636363"/>
          <w:spacing w:val="0"/>
          <w:sz w:val="28"/>
          <w:szCs w:val="28"/>
          <w:bdr w:val="none" w:color="auto" w:sz="0" w:space="0"/>
        </w:rPr>
        <w:t> </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line="460" w:lineRule="atLeast"/>
        <w:ind w:left="0" w:right="420" w:firstLine="0"/>
        <w:jc w:val="center"/>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重庆机电职业技术学院技能竞赛立项申请表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一、竞赛项目</w:t>
      </w:r>
    </w:p>
    <w:tbl>
      <w:tblPr>
        <w:tblW w:w="9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822"/>
        <w:gridCol w:w="2867"/>
        <w:gridCol w:w="1317"/>
        <w:gridCol w:w="3290"/>
      </w:tblGrid>
      <w:tr>
        <w:trPr>
          <w:jc w:val="center"/>
        </w:trPr>
        <w:tc>
          <w:tcPr>
            <w:tcW w:w="1822" w:type="dxa"/>
            <w:tcBorders>
              <w:top w:val="single" w:color="auto" w:sz="12" w:space="0"/>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竞赛名称</w:t>
            </w:r>
          </w:p>
        </w:tc>
        <w:tc>
          <w:tcPr>
            <w:tcW w:w="7474" w:type="dxa"/>
            <w:gridSpan w:val="3"/>
            <w:tcBorders>
              <w:top w:val="single" w:color="auto" w:sz="12" w:space="0"/>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822" w:type="dxa"/>
            <w:tcBorders>
              <w:top w:val="nil"/>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主办单位</w:t>
            </w:r>
          </w:p>
        </w:tc>
        <w:tc>
          <w:tcPr>
            <w:tcW w:w="7474" w:type="dxa"/>
            <w:gridSpan w:val="3"/>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822" w:type="dxa"/>
            <w:tcBorders>
              <w:top w:val="nil"/>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承办单位</w:t>
            </w:r>
          </w:p>
        </w:tc>
        <w:tc>
          <w:tcPr>
            <w:tcW w:w="28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131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协办单位</w:t>
            </w:r>
          </w:p>
        </w:tc>
        <w:tc>
          <w:tcPr>
            <w:tcW w:w="3290" w:type="dxa"/>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822" w:type="dxa"/>
            <w:tcBorders>
              <w:top w:val="nil"/>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竞赛级别</w:t>
            </w:r>
          </w:p>
        </w:tc>
        <w:tc>
          <w:tcPr>
            <w:tcW w:w="7474" w:type="dxa"/>
            <w:gridSpan w:val="3"/>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国家级一类（ ）       国家级二类（ ）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重庆市级一类（ ）    重庆市级二类（ ）    院级（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822" w:type="dxa"/>
            <w:tcBorders>
              <w:top w:val="nil"/>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参赛对象</w:t>
            </w:r>
          </w:p>
        </w:tc>
        <w:tc>
          <w:tcPr>
            <w:tcW w:w="7474" w:type="dxa"/>
            <w:gridSpan w:val="3"/>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6" w:hRule="atLeast"/>
          <w:jc w:val="center"/>
        </w:trPr>
        <w:tc>
          <w:tcPr>
            <w:tcW w:w="1822" w:type="dxa"/>
            <w:tcBorders>
              <w:top w:val="nil"/>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时间、地点</w:t>
            </w:r>
          </w:p>
        </w:tc>
        <w:tc>
          <w:tcPr>
            <w:tcW w:w="7474" w:type="dxa"/>
            <w:gridSpan w:val="3"/>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49" w:hRule="atLeast"/>
          <w:jc w:val="center"/>
        </w:trPr>
        <w:tc>
          <w:tcPr>
            <w:tcW w:w="1822"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竞赛简介</w:t>
            </w:r>
          </w:p>
        </w:tc>
        <w:tc>
          <w:tcPr>
            <w:tcW w:w="7474" w:type="dxa"/>
            <w:gridSpan w:val="3"/>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58" w:hRule="atLeast"/>
          <w:jc w:val="center"/>
        </w:trPr>
        <w:tc>
          <w:tcPr>
            <w:tcW w:w="1822"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设奖情况</w:t>
            </w:r>
          </w:p>
        </w:tc>
        <w:tc>
          <w:tcPr>
            <w:tcW w:w="7474" w:type="dxa"/>
            <w:gridSpan w:val="3"/>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44" w:hRule="atLeast"/>
          <w:jc w:val="center"/>
        </w:trPr>
        <w:tc>
          <w:tcPr>
            <w:tcW w:w="1822" w:type="dxa"/>
            <w:tcBorders>
              <w:top w:val="nil"/>
              <w:left w:val="single" w:color="auto" w:sz="12" w:space="0"/>
              <w:bottom w:val="single" w:color="auto" w:sz="12"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预期目标</w:t>
            </w:r>
          </w:p>
        </w:tc>
        <w:tc>
          <w:tcPr>
            <w:tcW w:w="7474" w:type="dxa"/>
            <w:gridSpan w:val="3"/>
            <w:tcBorders>
              <w:top w:val="nil"/>
              <w:left w:val="nil"/>
              <w:bottom w:val="single" w:color="auto" w:sz="12"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二、培训安排</w:t>
      </w:r>
    </w:p>
    <w:tbl>
      <w:tblPr>
        <w:tblW w:w="92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664"/>
        <w:gridCol w:w="7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664" w:type="dxa"/>
            <w:tcBorders>
              <w:top w:val="single" w:color="auto" w:sz="12" w:space="0"/>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5"/>
              <w:jc w:val="left"/>
              <w:rPr>
                <w:b w:val="0"/>
                <w:i w:val="0"/>
                <w:sz w:val="28"/>
                <w:szCs w:val="28"/>
              </w:rPr>
            </w:pPr>
            <w:r>
              <w:rPr>
                <w:rFonts w:ascii="宋体" w:hAnsi="宋体" w:eastAsia="宋体" w:cs="宋体"/>
                <w:b w:val="0"/>
                <w:i w:val="0"/>
                <w:kern w:val="0"/>
                <w:sz w:val="28"/>
                <w:szCs w:val="28"/>
                <w:bdr w:val="none" w:color="auto" w:sz="0" w:space="0"/>
                <w:lang w:val="en-US" w:eastAsia="zh-CN" w:bidi="ar"/>
              </w:rPr>
              <w:t>培训承办单位</w:t>
            </w:r>
          </w:p>
        </w:tc>
        <w:tc>
          <w:tcPr>
            <w:tcW w:w="7609" w:type="dxa"/>
            <w:tcBorders>
              <w:top w:val="single" w:color="auto" w:sz="12" w:space="0"/>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664" w:type="dxa"/>
            <w:tcBorders>
              <w:top w:val="nil"/>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指导教师</w:t>
            </w:r>
          </w:p>
        </w:tc>
        <w:tc>
          <w:tcPr>
            <w:tcW w:w="7609" w:type="dxa"/>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273" w:type="dxa"/>
            <w:gridSpan w:val="2"/>
            <w:tcBorders>
              <w:top w:val="nil"/>
              <w:left w:val="single" w:color="auto" w:sz="12" w:space="0"/>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培训计划简要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278" w:hRule="atLeast"/>
          <w:jc w:val="center"/>
        </w:trPr>
        <w:tc>
          <w:tcPr>
            <w:tcW w:w="9273" w:type="dxa"/>
            <w:gridSpan w:val="2"/>
            <w:tcBorders>
              <w:top w:val="nil"/>
              <w:left w:val="single" w:color="auto" w:sz="12" w:space="0"/>
              <w:bottom w:val="single" w:color="auto" w:sz="12"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（包括指导教师安排、学生遴选办法、培训主要内容、时间安排、培训方式等。可附附件）</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三、费用预算</w:t>
      </w:r>
    </w:p>
    <w:tbl>
      <w:tblPr>
        <w:tblW w:w="92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72"/>
        <w:gridCol w:w="2293"/>
        <w:gridCol w:w="1547"/>
        <w:gridCol w:w="4648"/>
      </w:tblGrid>
      <w:tr>
        <w:tblPrEx>
          <w:shd w:val="clear"/>
        </w:tblPrEx>
        <w:trPr>
          <w:jc w:val="center"/>
        </w:trPr>
        <w:tc>
          <w:tcPr>
            <w:tcW w:w="772" w:type="dxa"/>
            <w:tcBorders>
              <w:top w:val="single" w:color="auto" w:sz="12" w:space="0"/>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序号</w:t>
            </w:r>
          </w:p>
        </w:tc>
        <w:tc>
          <w:tcPr>
            <w:tcW w:w="2293" w:type="dxa"/>
            <w:tcBorders>
              <w:top w:val="single" w:color="auto" w:sz="12"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项 目</w:t>
            </w:r>
          </w:p>
        </w:tc>
        <w:tc>
          <w:tcPr>
            <w:tcW w:w="1547" w:type="dxa"/>
            <w:tcBorders>
              <w:top w:val="single" w:color="auto" w:sz="12"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金额</w:t>
            </w:r>
          </w:p>
        </w:tc>
        <w:tc>
          <w:tcPr>
            <w:tcW w:w="4648" w:type="dxa"/>
            <w:tcBorders>
              <w:top w:val="single" w:color="auto" w:sz="12" w:space="0"/>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支 出 简 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772" w:type="dxa"/>
            <w:tcBorders>
              <w:top w:val="nil"/>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229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154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4648" w:type="dxa"/>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772" w:type="dxa"/>
            <w:tcBorders>
              <w:top w:val="nil"/>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229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154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4648" w:type="dxa"/>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772" w:type="dxa"/>
            <w:tcBorders>
              <w:top w:val="nil"/>
              <w:left w:val="single" w:color="auto" w:sz="12"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229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154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4648" w:type="dxa"/>
            <w:tcBorders>
              <w:top w:val="nil"/>
              <w:left w:val="nil"/>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260" w:type="dxa"/>
            <w:gridSpan w:val="4"/>
            <w:tcBorders>
              <w:top w:val="nil"/>
              <w:left w:val="single" w:color="auto" w:sz="12" w:space="0"/>
              <w:bottom w:val="single" w:color="auto" w:sz="12"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i w:val="0"/>
                <w:sz w:val="28"/>
                <w:szCs w:val="28"/>
              </w:rPr>
            </w:pPr>
            <w:r>
              <w:rPr>
                <w:rFonts w:ascii="宋体" w:hAnsi="宋体" w:eastAsia="宋体" w:cs="宋体"/>
                <w:b w:val="0"/>
                <w:i w:val="0"/>
                <w:kern w:val="0"/>
                <w:sz w:val="28"/>
                <w:szCs w:val="28"/>
                <w:bdr w:val="none" w:color="auto" w:sz="0" w:space="0"/>
                <w:lang w:val="en-US" w:eastAsia="zh-CN" w:bidi="ar"/>
              </w:rPr>
              <w:t>总 计：</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四、审批意见</w:t>
      </w:r>
    </w:p>
    <w:tbl>
      <w:tblPr>
        <w:tblW w:w="92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795"/>
        <w:gridCol w:w="74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68" w:hRule="atLeast"/>
          <w:jc w:val="center"/>
        </w:trPr>
        <w:tc>
          <w:tcPr>
            <w:tcW w:w="1795" w:type="dxa"/>
            <w:tcBorders>
              <w:top w:val="single" w:color="auto" w:sz="12"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承办单位意见</w:t>
            </w:r>
          </w:p>
        </w:tc>
        <w:tc>
          <w:tcPr>
            <w:tcW w:w="7491" w:type="dxa"/>
            <w:tcBorders>
              <w:top w:val="single" w:color="auto" w:sz="12" w:space="0"/>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515"/>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515"/>
              <w:jc w:val="left"/>
              <w:rPr>
                <w:b w:val="0"/>
                <w:i w:val="0"/>
                <w:sz w:val="28"/>
                <w:szCs w:val="28"/>
              </w:rPr>
            </w:pPr>
            <w:r>
              <w:rPr>
                <w:rFonts w:ascii="宋体" w:hAnsi="宋体" w:eastAsia="宋体" w:cs="宋体"/>
                <w:b w:val="0"/>
                <w:i w:val="0"/>
                <w:kern w:val="0"/>
                <w:sz w:val="28"/>
                <w:szCs w:val="28"/>
                <w:bdr w:val="none" w:color="auto" w:sz="0" w:space="0"/>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68" w:hRule="atLeast"/>
          <w:jc w:val="center"/>
        </w:trPr>
        <w:tc>
          <w:tcPr>
            <w:tcW w:w="1795"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教务处意见</w:t>
            </w:r>
          </w:p>
        </w:tc>
        <w:tc>
          <w:tcPr>
            <w:tcW w:w="7491" w:type="dxa"/>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515"/>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515"/>
              <w:jc w:val="left"/>
              <w:rPr>
                <w:b w:val="0"/>
                <w:i w:val="0"/>
                <w:sz w:val="28"/>
                <w:szCs w:val="28"/>
              </w:rPr>
            </w:pPr>
            <w:r>
              <w:rPr>
                <w:rFonts w:ascii="宋体" w:hAnsi="宋体" w:eastAsia="宋体" w:cs="宋体"/>
                <w:b w:val="0"/>
                <w:i w:val="0"/>
                <w:kern w:val="0"/>
                <w:sz w:val="28"/>
                <w:szCs w:val="28"/>
                <w:bdr w:val="none" w:color="auto" w:sz="0" w:space="0"/>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06" w:hRule="atLeast"/>
          <w:jc w:val="center"/>
        </w:trPr>
        <w:tc>
          <w:tcPr>
            <w:tcW w:w="1795" w:type="dxa"/>
            <w:tcBorders>
              <w:top w:val="nil"/>
              <w:left w:val="single" w:color="auto" w:sz="12" w:space="0"/>
              <w:bottom w:val="single" w:color="auto" w:sz="12"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学院审批意见</w:t>
            </w:r>
          </w:p>
        </w:tc>
        <w:tc>
          <w:tcPr>
            <w:tcW w:w="7491" w:type="dxa"/>
            <w:tcBorders>
              <w:top w:val="nil"/>
              <w:left w:val="nil"/>
              <w:bottom w:val="single" w:color="auto" w:sz="12"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515"/>
              <w:jc w:val="left"/>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515"/>
              <w:jc w:val="left"/>
              <w:rPr>
                <w:b w:val="0"/>
                <w:i w:val="0"/>
                <w:sz w:val="28"/>
                <w:szCs w:val="28"/>
              </w:rPr>
            </w:pPr>
            <w:r>
              <w:rPr>
                <w:rFonts w:ascii="宋体" w:hAnsi="宋体" w:eastAsia="宋体" w:cs="宋体"/>
                <w:b w:val="0"/>
                <w:i w:val="0"/>
                <w:kern w:val="0"/>
                <w:sz w:val="28"/>
                <w:szCs w:val="28"/>
                <w:bdr w:val="none" w:color="auto" w:sz="0" w:space="0"/>
                <w:lang w:val="en-US" w:eastAsia="zh-CN" w:bidi="ar"/>
              </w:rPr>
              <w:t>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注：申请表审批后，原件返还承办单位，复印件留教务处存档。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重庆机电职业技术学院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省市级以上技能竞赛工作量及奖金申请审批表</w:t>
      </w:r>
    </w:p>
    <w:tbl>
      <w:tblPr>
        <w:tblW w:w="93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525"/>
        <w:gridCol w:w="2407"/>
        <w:gridCol w:w="1702"/>
        <w:gridCol w:w="3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1526" w:type="dxa"/>
            <w:tcBorders>
              <w:top w:val="single" w:color="auto" w:sz="12"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竞赛名称</w:t>
            </w:r>
          </w:p>
        </w:tc>
        <w:tc>
          <w:tcPr>
            <w:tcW w:w="7841" w:type="dxa"/>
            <w:gridSpan w:val="3"/>
            <w:tcBorders>
              <w:top w:val="single" w:color="auto" w:sz="12" w:space="0"/>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7" w:hRule="atLeast"/>
          <w:jc w:val="center"/>
        </w:trPr>
        <w:tc>
          <w:tcPr>
            <w:tcW w:w="1526"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主办单位</w:t>
            </w:r>
          </w:p>
        </w:tc>
        <w:tc>
          <w:tcPr>
            <w:tcW w:w="7841" w:type="dxa"/>
            <w:gridSpan w:val="3"/>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7" w:hRule="atLeast"/>
          <w:jc w:val="center"/>
        </w:trPr>
        <w:tc>
          <w:tcPr>
            <w:tcW w:w="1526"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承办单位</w:t>
            </w:r>
          </w:p>
        </w:tc>
        <w:tc>
          <w:tcPr>
            <w:tcW w:w="7841" w:type="dxa"/>
            <w:gridSpan w:val="3"/>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7" w:hRule="atLeast"/>
          <w:jc w:val="center"/>
        </w:trPr>
        <w:tc>
          <w:tcPr>
            <w:tcW w:w="1526"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竞赛级别</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时间、地点</w:t>
            </w:r>
          </w:p>
        </w:tc>
        <w:tc>
          <w:tcPr>
            <w:tcW w:w="3733" w:type="dxa"/>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7" w:hRule="atLeast"/>
          <w:jc w:val="center"/>
        </w:trPr>
        <w:tc>
          <w:tcPr>
            <w:tcW w:w="1526"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参赛学生</w:t>
            </w:r>
          </w:p>
        </w:tc>
        <w:tc>
          <w:tcPr>
            <w:tcW w:w="7841" w:type="dxa"/>
            <w:gridSpan w:val="3"/>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7" w:hRule="atLeast"/>
          <w:jc w:val="center"/>
        </w:trPr>
        <w:tc>
          <w:tcPr>
            <w:tcW w:w="1526"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指导教师</w:t>
            </w:r>
          </w:p>
        </w:tc>
        <w:tc>
          <w:tcPr>
            <w:tcW w:w="7841" w:type="dxa"/>
            <w:gridSpan w:val="3"/>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13" w:hRule="atLeast"/>
          <w:jc w:val="center"/>
        </w:trPr>
        <w:tc>
          <w:tcPr>
            <w:tcW w:w="1526"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竞赛简介</w:t>
            </w:r>
          </w:p>
        </w:tc>
        <w:tc>
          <w:tcPr>
            <w:tcW w:w="7841" w:type="dxa"/>
            <w:gridSpan w:val="3"/>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95" w:hRule="atLeast"/>
          <w:jc w:val="center"/>
        </w:trPr>
        <w:tc>
          <w:tcPr>
            <w:tcW w:w="1526"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设奖情况</w:t>
            </w:r>
          </w:p>
        </w:tc>
        <w:tc>
          <w:tcPr>
            <w:tcW w:w="7841" w:type="dxa"/>
            <w:gridSpan w:val="3"/>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19" w:hRule="atLeast"/>
          <w:jc w:val="center"/>
        </w:trPr>
        <w:tc>
          <w:tcPr>
            <w:tcW w:w="1526"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获奖情况</w:t>
            </w:r>
          </w:p>
        </w:tc>
        <w:tc>
          <w:tcPr>
            <w:tcW w:w="7841" w:type="dxa"/>
            <w:gridSpan w:val="3"/>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252" w:hRule="atLeast"/>
          <w:jc w:val="center"/>
        </w:trPr>
        <w:tc>
          <w:tcPr>
            <w:tcW w:w="1526"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系部审核</w:t>
            </w:r>
          </w:p>
        </w:tc>
        <w:tc>
          <w:tcPr>
            <w:tcW w:w="7841" w:type="dxa"/>
            <w:gridSpan w:val="3"/>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902" w:hRule="atLeast"/>
          <w:jc w:val="center"/>
        </w:trPr>
        <w:tc>
          <w:tcPr>
            <w:tcW w:w="1526"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教务处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意见</w:t>
            </w:r>
          </w:p>
        </w:tc>
        <w:tc>
          <w:tcPr>
            <w:tcW w:w="7841" w:type="dxa"/>
            <w:gridSpan w:val="3"/>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476" w:hRule="atLeast"/>
          <w:jc w:val="center"/>
        </w:trPr>
        <w:tc>
          <w:tcPr>
            <w:tcW w:w="1526"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分管领导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意见</w:t>
            </w:r>
          </w:p>
        </w:tc>
        <w:tc>
          <w:tcPr>
            <w:tcW w:w="7841" w:type="dxa"/>
            <w:gridSpan w:val="3"/>
            <w:tcBorders>
              <w:top w:val="nil"/>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258" w:hRule="atLeast"/>
          <w:jc w:val="center"/>
        </w:trPr>
        <w:tc>
          <w:tcPr>
            <w:tcW w:w="1526" w:type="dxa"/>
            <w:tcBorders>
              <w:top w:val="nil"/>
              <w:left w:val="single" w:color="auto" w:sz="12" w:space="0"/>
              <w:bottom w:val="single" w:color="auto" w:sz="12"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学院意见</w:t>
            </w:r>
          </w:p>
        </w:tc>
        <w:tc>
          <w:tcPr>
            <w:tcW w:w="7841" w:type="dxa"/>
            <w:gridSpan w:val="3"/>
            <w:tcBorders>
              <w:top w:val="nil"/>
              <w:left w:val="nil"/>
              <w:bottom w:val="single" w:color="auto" w:sz="12"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sz w:val="28"/>
                <w:szCs w:val="28"/>
              </w:rPr>
            </w:pPr>
            <w:r>
              <w:rPr>
                <w:rFonts w:ascii="宋体" w:hAnsi="宋体" w:eastAsia="宋体" w:cs="宋体"/>
                <w:b w:val="0"/>
                <w:i w:val="0"/>
                <w:kern w:val="0"/>
                <w:sz w:val="28"/>
                <w:szCs w:val="28"/>
                <w:bdr w:val="none" w:color="auto" w:sz="0" w:space="0"/>
                <w:lang w:val="en-US" w:eastAsia="zh-CN" w:bidi="ar"/>
              </w:rPr>
              <w:t>                                                 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注：1.申请技能竞赛工作量和奖励时，承办单位需审核训练计划执行情况，并附立项申请表；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320" w:firstLine="8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2.申请表审批后，原件送财务处，复印件留教务处和申请部门存档。</w:t>
      </w:r>
    </w:p>
    <w:p>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3D1F27B"/>
    <w:rsid w:val="D3D1F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2024-07-18T16:55:00Z</dcterms:created>
  <dc:creator>wangwenyuan</dc:creator>
  <cp:lastModifiedBy>wangwenyuan</cp:lastModifiedBy>
  <dcterms:modified xsi:type="dcterms:W3CDTF">2024-07-18T16:57:16Z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