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amoha" w:hAnsi="tamoha" w:eastAsia="tamoha" w:cs="tamoha"/>
          <w:i w:val="0"/>
          <w:caps w:val="0"/>
          <w:color w:val="636363"/>
          <w:spacing w:val="0"/>
          <w:sz w:val="28"/>
          <w:szCs w:val="28"/>
        </w:rPr>
      </w:pPr>
      <w:r>
        <w:rPr>
          <w:rFonts w:ascii="方正楷体_GBK" w:hAnsi="方正楷体_GBK" w:eastAsia="方正楷体_GBK" w:cs="方正楷体_GBK"/>
          <w:i w:val="0"/>
          <w:caps w:val="0"/>
          <w:color w:val="636363"/>
          <w:spacing w:val="0"/>
          <w:sz w:val="28"/>
          <w:szCs w:val="28"/>
          <w:bdr w:val="none" w:color="auto" w:sz="0" w:space="0"/>
        </w:rPr>
        <w:t>——张光彩副校长在</w:t>
      </w:r>
      <w:r>
        <w:rPr>
          <w:rFonts w:hint="default" w:ascii="Times New Roman" w:hAnsi="Times New Roman" w:eastAsia="方正楷体_GBK" w:cs="Times New Roman"/>
          <w:i w:val="0"/>
          <w:caps w:val="0"/>
          <w:color w:val="636363"/>
          <w:spacing w:val="0"/>
          <w:sz w:val="28"/>
          <w:szCs w:val="28"/>
          <w:bdr w:val="none" w:color="auto" w:sz="0" w:space="0"/>
        </w:rPr>
        <w:t>2021</w:t>
      </w:r>
      <w:r>
        <w:rPr>
          <w:rFonts w:hint="default" w:ascii="方正楷体_GBK" w:hAnsi="方正楷体_GBK" w:eastAsia="方正楷体_GBK" w:cs="方正楷体_GBK"/>
          <w:i w:val="0"/>
          <w:caps w:val="0"/>
          <w:color w:val="636363"/>
          <w:spacing w:val="0"/>
          <w:sz w:val="28"/>
          <w:szCs w:val="28"/>
          <w:bdr w:val="none" w:color="auto" w:sz="0" w:space="0"/>
        </w:rPr>
        <w:t>年学生工作总结暨表彰大会上的讲话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amoha" w:hAnsi="tamoha" w:eastAsia="tamoha" w:cs="tamoha"/>
          <w:i w:val="0"/>
          <w:caps w:val="0"/>
          <w:color w:val="636363"/>
          <w:spacing w:val="0"/>
          <w:sz w:val="28"/>
          <w:szCs w:val="28"/>
        </w:rPr>
      </w:pPr>
      <w:r>
        <w:rPr>
          <w:rFonts w:hint="default" w:ascii="Times New Roman" w:hAnsi="Times New Roman" w:eastAsia="方正楷体_GBK" w:cs="Times New Roman"/>
          <w:i w:val="0"/>
          <w:caps w:val="0"/>
          <w:color w:val="636363"/>
          <w:spacing w:val="0"/>
          <w:sz w:val="28"/>
          <w:szCs w:val="28"/>
          <w:bdr w:val="none" w:color="auto" w:sz="0" w:space="0"/>
        </w:rPr>
        <w:t>2021</w:t>
      </w:r>
      <w:r>
        <w:rPr>
          <w:rFonts w:hint="default" w:ascii="方正楷体_GBK" w:hAnsi="方正楷体_GBK" w:eastAsia="方正楷体_GBK" w:cs="方正楷体_GBK"/>
          <w:i w:val="0"/>
          <w:caps w:val="0"/>
          <w:color w:val="636363"/>
          <w:spacing w:val="0"/>
          <w:sz w:val="28"/>
          <w:szCs w:val="28"/>
          <w:bdr w:val="none" w:color="auto" w:sz="0" w:space="0"/>
        </w:rPr>
        <w:t>年</w:t>
      </w:r>
      <w:r>
        <w:rPr>
          <w:rFonts w:hint="default" w:ascii="Times New Roman" w:hAnsi="Times New Roman" w:eastAsia="方正楷体_GBK" w:cs="Times New Roman"/>
          <w:i w:val="0"/>
          <w:caps w:val="0"/>
          <w:color w:val="636363"/>
          <w:spacing w:val="0"/>
          <w:sz w:val="28"/>
          <w:szCs w:val="28"/>
          <w:bdr w:val="none" w:color="auto" w:sz="0" w:space="0"/>
        </w:rPr>
        <w:t>12</w:t>
      </w:r>
      <w:r>
        <w:rPr>
          <w:rFonts w:hint="default" w:ascii="方正楷体_GBK" w:hAnsi="方正楷体_GBK" w:eastAsia="方正楷体_GBK" w:cs="方正楷体_GBK"/>
          <w:i w:val="0"/>
          <w:caps w:val="0"/>
          <w:color w:val="636363"/>
          <w:spacing w:val="0"/>
          <w:sz w:val="28"/>
          <w:szCs w:val="28"/>
          <w:bdr w:val="none" w:color="auto" w:sz="0" w:space="0"/>
        </w:rPr>
        <w:t>月</w:t>
      </w:r>
      <w:r>
        <w:rPr>
          <w:rFonts w:hint="default" w:ascii="Times New Roman" w:hAnsi="Times New Roman" w:eastAsia="方正楷体_GBK" w:cs="Times New Roman"/>
          <w:i w:val="0"/>
          <w:caps w:val="0"/>
          <w:color w:val="636363"/>
          <w:spacing w:val="0"/>
          <w:sz w:val="28"/>
          <w:szCs w:val="28"/>
          <w:bdr w:val="none" w:color="auto" w:sz="0" w:space="0"/>
        </w:rPr>
        <w:t>24</w:t>
      </w:r>
      <w:r>
        <w:rPr>
          <w:rFonts w:hint="default" w:ascii="方正楷体_GBK" w:hAnsi="方正楷体_GBK" w:eastAsia="方正楷体_GBK" w:cs="方正楷体_GBK"/>
          <w:i w:val="0"/>
          <w:caps w:val="0"/>
          <w:color w:val="636363"/>
          <w:spacing w:val="0"/>
          <w:sz w:val="28"/>
          <w:szCs w:val="28"/>
          <w:bdr w:val="none" w:color="auto" w:sz="0" w:space="0"/>
        </w:rPr>
        <w:t>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default" w:ascii="Times New Roman" w:hAnsi="Times New Roman" w:eastAsia="tamoha" w:cs="Times New Roman"/>
          <w:i w:val="0"/>
          <w:caps w:val="0"/>
          <w:color w:val="63636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2021</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年，我校学生工作以立德树人为根本要求，以本科职业教育试点为契机，紧紧Χ绕学校“促试点、推线上、抓防控”年度工作要点，依靠组织抓建设，盯着效果抓落实，经过全体学工人员的共同努力，在思想教育、学生管理、学风建设、社会实践、就业创业、社团服务、校园文化等工作中均取得了新进展、新成就、新突破。现将一年来的主要工作从三个方面加以总结与汇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一、促试点，狠抓“三大”工程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（一）价值引领工程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一是夯实理想信念根基，扎实开展党史学习教育。一年来，我们将党史学习教育与学生活动有机结合，先后组织开展了“认识技术、圆梦机电”“技术强国有我·技能报国有我”“图书馆前开讲啦！”等系列主题学习教育活动，累计开展</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12</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期，共计</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5000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余人次参加活动。与此同时，各学院通过班级主题班会、主题团会、报告宣讲、故事分享、知识竞赛等多种形式，积极开展党史学习教育活动。电气与电子工程学院杨涛涛、信息工程学院王思惠、建筑工程学院陈青等三名同学代表学校参加重庆市党史知识竞赛，荣获学生组团体一等奖；辅导员陈阳、何燕、张星玉等荣获教师组团体二等奖的好成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二是夯实爱党爱国根基，扎实开展爱国主义教育。组织团学干部</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189</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人参观邱少云烈士纪念馆、组织全校</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17000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余名学生观看庆祝建党一百周年大会、组织开展庆祝建党</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100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周年“七一”升旗仪式以及“学四史”大学生知识竞赛、短视频大赛、歌咏比赛等大型活动</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12</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场次。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三是夯实网络思政载体，扎实开展线上宣传教育。先后开展学生法制教育、防范金融诈骗教育</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13</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场次，受教育学生</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3</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万余人次；开展 “学宪法、讲宪法”活动，并获得市级演讲比赛三等奖和优秀组织奖。今年新生入学，校团委运营“机电小团团”微信和抖音新y体平台，共发布作品（</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43</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）篇，浏览量</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8700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余人次，抖音短视频今年发布</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51</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篇作品，点赞量</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11728</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人次，观看量达</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20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万人次，覆盖率达</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90%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以上，从而让“青年之声”和谐电波影响ÿ一名机电学子，守住了主阵地，传播了正能量，受到了团市委的好评。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（二）第二课堂建设工程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一是搭建文艺展示平台，营造文化氛Χ。成功举办第十七届挑战杯校内选拔赛、第十五届校园歌手大赛、第二届金话筒主持人大赛“等</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20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余场活动，参加重庆市第</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17</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届挑战杯荣获市赛一等奖</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3</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个，二等奖</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7</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个，三等奖</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4</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个。</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2021</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年学生在在市级及以上竞赛中共获</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141</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项奖项，有</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705</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人次获奖。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二是践行实践历练平台，助力乡村振兴。引导全校青年学子利用暑期积极参加社会实践活动，组建</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3</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支“三下乡”社会实践团队助力乡村振兴，组织 </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7437</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人参加了暑期实践活动， </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5242</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名同学提交社会实践心得体会；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三是打造志愿服务平台，服务社会发展。一年来，共开展志愿服务活动</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10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余场次，志愿服务类型涉及无偿献血、疾病预防、青年劳动、关爱留守儿童以及大型活动服务保障等方面，志愿者注册人数达</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3687</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（三）学工队伍建设工程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一是强化业务培训，提升队伍职业化水平。全年召开学生思想政治工作研讨会、学生工作例会共计</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37</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次，组织</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103</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人次参加教育部和重庆市教委组织线上辅导员业务能力、资助工作、心理健康、上岗培训等专题培训，有</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13</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人取得优异成绩，辅导员冉锦获得重庆市</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20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强“优秀辅导员”称号，为我校建校以来辅导员队伍获得的最高荣誉，为学校增了光，为机电添了彩。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二是组织交流学习，提升队伍规范化水平。今年先后组织学工队伍到西南政法大学、重庆商务职业学院、重庆城市管理学院调研学习；与到我校调研学习的重庆航天职业技术学院、重庆应用技术职业学院相互交流学习，有力提升了我校学工队伍业务能力与规范化水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三是开展专项比赛，提升队伍专业化水平。举办第十一届辅导员素质能力比赛、第三届辅导员网文写作大赛、就业创业课程讲课比赛，要求辅导员ÿ年至少发表一篇工作文章。全年共发表论文</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42</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篇，申请课题立项</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3</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项，其中一项课题为重庆市“三全育人”十大精品项目课题。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二、抓学风，做好“三个”结合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（一）坚持活动开展与学风建设相结合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一是开展</w:t>
      </w: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 </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“铸魂·塑行”育人活动。全年共开展晨读打卡活动</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3</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期，共计</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3869</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人参加，</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2759</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人完成打卡；晨读完成率为</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71.3%</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，比去年同期上升近十个百分点</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开展晨跑打卡活动</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4</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期，共计</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2754</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人参与，</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1447</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人完成打卡；晨跑完成率为</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52.5%</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，比去年同期上升</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4.5</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个百分点；所有参与晨读学习的队伍中本科生占</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88.2%</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；所有参加晨跑的学生中本科生占</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67.8%</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这些活动的开展对引导学生养成良好的学习习和生活习惯起到了较好的引领和示范作用，也较好落实了国林校长倡导的当代大学生要结交“图书馆和运动场”二个朋友，以及大学有睡觉的地方，但大学绝不是睡觉的地方的教育哲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二是开展首届学工干部“说学风”活动。举办了首届学工干部“说学风”活动，通过辅导员说学风、学院说学风、总支书记说学风等活动，分享学风建设经验，促进学风建设水平。各学院把学风建设与“班风、职业素养”有机结合起来，开展学风教育活动</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1127</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班次；引导学生把“专业当作学业”、辅导员把“工作当作事业”的学习态度和工作状态。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三是开展日常教育督查活动。本着重心下移的管理理念，各总支书记、学办主任和值班辅导员ÿ天跟班查勤，学生处ÿ周检查并排名通报。总支书记田峰、何英等同志坚持跟班督查，为广大辅导员老师起到了表率作用。本年度共通报学生迟到早退</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32</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次，共计</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879</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人次；通过通报与评比，学生迟到率与去年同期下降近</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5</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个百分点，出现了到图书馆排队的多了、学习的多了，讲话的少了、玩手机的少了等“二多二少”现象，职业本科大学的学风正越来越浓。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（二）坚持榜样树立与学风建设相结合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一是抓国防教育，树新生榜样促学风。表彰在军训中表现优异的学员</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158</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人、先进连队</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12</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个、先进单λ</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2</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二是抓学业教育，树学习标杆促学风。全年评选国家奖学金</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13</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人、国家励志奖学金</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459</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人、学校奖学金</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2563</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人、专升本升学奖学金</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1277</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人、新生入学奖学金</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20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三是抓常规教育，树行为模范促学风。本年度评选表彰了市级先进班集体</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5</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个，先进个人</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67</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名、市级优秀毕业生</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18</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名</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优秀大学毕业生</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90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人；五四红旗团总支</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1</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个，五四红旗团支部</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7</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个，</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1351</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名学生成为入党积极分子。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32"/>
          <w:szCs w:val="32"/>
          <w:bdr w:val="none" w:color="auto" w:sz="0" w:space="0"/>
          <w:lang w:val="en-US" w:eastAsia="zh-CN" w:bidi="ar"/>
        </w:rPr>
        <w:t>（三）坚持双创竞赛与学风建设结合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一是优化升级双创服务。牵头组织参加重庆市第八届创新创业大赛、第七届“高新杯”众创大赛，累计报名项目</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842</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个。</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7</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个项目获大学生创业扶持计划，</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1</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个项目成功入选市级立项。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二是就业率再创新高。今年我校毕业生毕业去向落实率为</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99.28%</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，名列全市高校第</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1</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名；大学生创业孵化园被评定为“优秀”等级；全年共举办线上、线下招聘会</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215</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场，发布各类招聘信息</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6500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余条，提供有效岗λ数</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25766</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个，有</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11.17%</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的毕业生进入成都铁·局、红宇精工、中船重工等国有兵工企业；余建波同学获成渝双城经济圈模拟求职大赛二等奖，辅导员刘洋、田小娟参加重庆市“高质量就业”主题演讲，获本科最佳人气奖。全年毕业生应征入伍率λ列全市第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三是精准开展资助育人服务。全面落实奖、助、贷、勤、免、补资助政策，全年发放各类奖、助学金</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1957.93</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万元，退役军人补偿</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3869.6</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万元，新疆专项助学金</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0.19</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三、抓安全，紧扣“三个”重点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一是紧扣疫情防控工作重点。认真编制方案，周密组织学生返校、新生报到和军训工作，组织外省返校学生核酸检测</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3789</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份，学生“两码一证明”</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17167</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人；</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11</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月</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5</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日当天与全校各部门高效、有序组织完成了</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17000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余人的核酸检测；学生疫苗接种</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26151</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人次，接种率超过</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98%</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二是紧扣反诈防骗工作重点。实施警校联动，组织民警进校宣传、辅导员专题宣传，线上教育覆盖全校</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17000</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余名学生，网络诈骗发案率与校园网贷率较去年明显下降；在“两节三夜”“五一”“十一”等重点时段，安全教育不放松。加大学生网</w:t>
      </w:r>
      <w:bookmarkStart w:id="0" w:name="_GoBack"/>
      <w:bookmarkEnd w:id="0"/>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络舆情教育与管控，全年δ发生重大责任事故。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三是紧扣“心理健康”工作重点。开展第十一届大学生心理健康系列活动节，认真做好新生心理普测有效问卷</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6434</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份，开通线上心理援助公益热线。实施线上教学</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32</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课时，¼制</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8</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个主题课程；线上线下接待学生</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167</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人次，排除严重心理问题</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12</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例；处理突发心理疾病与Σ机干预事件</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3</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20" w:right="-320" w:firstLine="640"/>
        <w:jc w:val="left"/>
        <w:rPr>
          <w:rFonts w:hint="default" w:ascii="tamoha" w:hAnsi="tamoha" w:eastAsia="tamoha" w:cs="tamoha"/>
          <w:i w:val="0"/>
          <w:caps w:val="0"/>
          <w:color w:val="636363"/>
          <w:spacing w:val="0"/>
          <w:sz w:val="28"/>
          <w:szCs w:val="28"/>
        </w:rPr>
      </w:pP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同学们，</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2021</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年即将结束，我们即将迎来充满期待的</w:t>
      </w:r>
      <w:r>
        <w:rPr>
          <w:rFonts w:hint="default" w:ascii="Times New Roman" w:hAnsi="Times New Roman" w:eastAsia="方正仿宋_GBK" w:cs="Times New Roman"/>
          <w:i w:val="0"/>
          <w:caps w:val="0"/>
          <w:color w:val="636363"/>
          <w:spacing w:val="0"/>
          <w:kern w:val="0"/>
          <w:sz w:val="28"/>
          <w:szCs w:val="28"/>
          <w:bdr w:val="none" w:color="auto" w:sz="0" w:space="0"/>
          <w:lang w:val="en-US" w:eastAsia="zh-CN" w:bidi="ar"/>
        </w:rPr>
        <w:t>2022</w:t>
      </w:r>
      <w:r>
        <w:rPr>
          <w:rFonts w:hint="eastAsia" w:ascii="方正仿宋_GBK" w:hAnsi="方正仿宋_GBK" w:eastAsia="方正仿宋_GBK" w:cs="方正仿宋_GBK"/>
          <w:i w:val="0"/>
          <w:caps w:val="0"/>
          <w:color w:val="636363"/>
          <w:spacing w:val="0"/>
          <w:kern w:val="0"/>
          <w:sz w:val="28"/>
          <w:szCs w:val="28"/>
          <w:bdr w:val="none" w:color="auto" w:sz="0" w:space="0"/>
          <w:lang w:val="en-US" w:eastAsia="zh-CN" w:bidi="ar"/>
        </w:rPr>
        <w:t>年，回顾过去，我们豪情满怀，展望δ来，我们信心百倍。站在学校新的历史发展阶段，让我们携手并进，以学校本科职业教育试点为契机，以转型建本为工作抓手，抢抓机遇，攻坚克难，用自己的努力与勤奋去谱写新的人生篇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tamoha">
    <w:altName w:val="苹方-简"/>
    <w:panose1 w:val="00000000000000000000"/>
    <w:charset w:val="00"/>
    <w:family w:val="auto"/>
    <w:pitch w:val="default"/>
    <w:sig w:usb0="00000000" w:usb1="00000000" w:usb2="00000000" w:usb3="00000000" w:csb0="00000000" w:csb1="00000000"/>
  </w:font>
  <w:font w:name="方正楷体_GBK">
    <w:altName w:val="苹方-简"/>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6355E1"/>
    <w:rsid w:val="32635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2024-07-18T15:47:00Z</dcterms:created>
  <dc:creator>wangwenyuan</dc:creator>
  <cp:lastModifiedBy>wangwenyuan</cp:lastModifiedBy>
  <dcterms:modified xsi:type="dcterms:W3CDTF">2024-07-18T15:48:02Z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